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3F009" w14:textId="77777777" w:rsidR="000A67FD" w:rsidRDefault="000A67FD" w:rsidP="000A67FD">
      <w:pPr>
        <w:jc w:val="both"/>
        <w:rPr>
          <w:b/>
          <w:sz w:val="26"/>
          <w:szCs w:val="26"/>
          <w:lang w:val="ro-RO"/>
        </w:rPr>
      </w:pPr>
    </w:p>
    <w:p w14:paraId="51C5A2C3" w14:textId="27E42EA4" w:rsidR="00882E89" w:rsidRDefault="00882E89" w:rsidP="000A67FD">
      <w:pPr>
        <w:jc w:val="both"/>
      </w:pPr>
    </w:p>
    <w:p w14:paraId="15D076D7" w14:textId="77777777" w:rsidR="00FE7718" w:rsidRDefault="00FE7718" w:rsidP="000A67FD">
      <w:pPr>
        <w:jc w:val="both"/>
      </w:pPr>
    </w:p>
    <w:p w14:paraId="796BD352" w14:textId="77777777" w:rsidR="00FE7718" w:rsidRDefault="00FE7718" w:rsidP="000A67FD">
      <w:pPr>
        <w:jc w:val="both"/>
      </w:pPr>
    </w:p>
    <w:p w14:paraId="3896D9FD" w14:textId="77777777" w:rsidR="00FE7718" w:rsidRDefault="00FE7718" w:rsidP="000A67FD">
      <w:pPr>
        <w:jc w:val="both"/>
      </w:pPr>
    </w:p>
    <w:p w14:paraId="0E3599A7" w14:textId="77777777" w:rsidR="00FE7718" w:rsidRDefault="00FE7718" w:rsidP="000A67FD">
      <w:pPr>
        <w:jc w:val="both"/>
      </w:pPr>
    </w:p>
    <w:p w14:paraId="39544DDF" w14:textId="77777777" w:rsidR="00FE7718" w:rsidRDefault="00FE7718" w:rsidP="000A67FD">
      <w:pPr>
        <w:jc w:val="both"/>
      </w:pPr>
    </w:p>
    <w:p w14:paraId="723C324F" w14:textId="77777777" w:rsidR="00FE7718" w:rsidRDefault="00FE7718" w:rsidP="000A67FD">
      <w:pPr>
        <w:jc w:val="both"/>
      </w:pPr>
    </w:p>
    <w:p w14:paraId="0A62F9C9" w14:textId="77777777" w:rsidR="00FE7718" w:rsidRDefault="00FE7718" w:rsidP="000A67FD">
      <w:pPr>
        <w:jc w:val="both"/>
      </w:pPr>
    </w:p>
    <w:p w14:paraId="12155BE1" w14:textId="77777777" w:rsidR="00FE7718" w:rsidRDefault="00FE7718" w:rsidP="000A67FD">
      <w:pPr>
        <w:jc w:val="both"/>
      </w:pPr>
    </w:p>
    <w:p w14:paraId="1CEA0504" w14:textId="77777777" w:rsidR="00E71DC6" w:rsidRDefault="00E71DC6" w:rsidP="00E71DC6">
      <w:pPr>
        <w:spacing w:after="0"/>
        <w:jc w:val="both"/>
        <w:rPr>
          <w:rFonts w:eastAsia="Calibri" w:cs="Times New Roman"/>
        </w:rPr>
      </w:pPr>
    </w:p>
    <w:p w14:paraId="58CF1BD4" w14:textId="77777777" w:rsidR="00E71DC6" w:rsidRPr="00B75EC9" w:rsidRDefault="00E71DC6" w:rsidP="00E71DC6">
      <w:pPr>
        <w:spacing w:after="0"/>
        <w:jc w:val="both"/>
        <w:rPr>
          <w:rFonts w:eastAsia="Calibri" w:cs="Times New Roman"/>
        </w:rPr>
      </w:pPr>
      <w:proofErr w:type="spellStart"/>
      <w:proofErr w:type="gramStart"/>
      <w:r w:rsidRPr="00B75EC9">
        <w:rPr>
          <w:rFonts w:eastAsia="Calibri" w:cs="Times New Roman"/>
        </w:rPr>
        <w:t>Nr</w:t>
      </w:r>
      <w:proofErr w:type="spellEnd"/>
      <w:r w:rsidRPr="00B75EC9">
        <w:rPr>
          <w:rFonts w:eastAsia="Calibri" w:cs="Times New Roman"/>
        </w:rPr>
        <w:t>.</w:t>
      </w:r>
      <w:proofErr w:type="gramEnd"/>
      <w:r w:rsidRPr="00B75EC9">
        <w:rPr>
          <w:rFonts w:eastAsia="Calibri" w:cs="Times New Roman"/>
        </w:rPr>
        <w:t xml:space="preserve">  </w:t>
      </w:r>
      <w:proofErr w:type="spellStart"/>
      <w:proofErr w:type="gramStart"/>
      <w:r w:rsidRPr="00B75EC9">
        <w:rPr>
          <w:rFonts w:eastAsia="Calibri" w:cs="Times New Roman"/>
        </w:rPr>
        <w:t>înreg</w:t>
      </w:r>
      <w:proofErr w:type="spellEnd"/>
      <w:r w:rsidRPr="00B75EC9">
        <w:rPr>
          <w:rFonts w:eastAsia="Calibri" w:cs="Times New Roman"/>
        </w:rPr>
        <w:t>.:</w:t>
      </w:r>
      <w:proofErr w:type="gramEnd"/>
      <w:r w:rsidRPr="00B75EC9">
        <w:rPr>
          <w:rFonts w:eastAsia="Calibri" w:cs="Times New Roman"/>
        </w:rPr>
        <w:t xml:space="preserve">                              </w:t>
      </w:r>
    </w:p>
    <w:p w14:paraId="1C6B88C2" w14:textId="77777777" w:rsidR="00E71DC6" w:rsidRPr="00B75EC9" w:rsidRDefault="00E71DC6" w:rsidP="00E71DC6">
      <w:pPr>
        <w:rPr>
          <w:rFonts w:eastAsia="Calibri" w:cs="Times New Roman"/>
          <w:b/>
          <w:sz w:val="26"/>
          <w:szCs w:val="26"/>
          <w:lang w:val="ro-RO"/>
        </w:rPr>
      </w:pPr>
    </w:p>
    <w:p w14:paraId="646A2DCD" w14:textId="77777777" w:rsidR="00E71DC6" w:rsidRPr="00B75EC9" w:rsidRDefault="00E71DC6" w:rsidP="00E71DC6">
      <w:pPr>
        <w:ind w:firstLine="708"/>
        <w:rPr>
          <w:rFonts w:eastAsia="Calibri" w:cs="Times New Roman"/>
          <w:b/>
          <w:sz w:val="26"/>
          <w:szCs w:val="26"/>
          <w:lang w:val="ro-RO"/>
        </w:rPr>
      </w:pPr>
      <w:r w:rsidRPr="00B75EC9">
        <w:rPr>
          <w:rFonts w:eastAsia="Calibri" w:cs="Times New Roman"/>
          <w:b/>
          <w:sz w:val="26"/>
          <w:szCs w:val="26"/>
          <w:lang w:val="ro-RO"/>
        </w:rPr>
        <w:t xml:space="preserve">Către       </w:t>
      </w:r>
    </w:p>
    <w:p w14:paraId="586BFB92" w14:textId="77777777" w:rsidR="00E71DC6" w:rsidRPr="00B75EC9" w:rsidRDefault="00E71DC6" w:rsidP="00E71DC6">
      <w:pPr>
        <w:jc w:val="center"/>
        <w:rPr>
          <w:rFonts w:eastAsia="Calibri" w:cs="Times New Roman"/>
          <w:b/>
          <w:sz w:val="26"/>
          <w:szCs w:val="26"/>
          <w:lang w:val="ro-RO"/>
        </w:rPr>
      </w:pPr>
      <w:r w:rsidRPr="00B75EC9">
        <w:rPr>
          <w:rFonts w:eastAsia="Calibri" w:cs="Times New Roman"/>
          <w:b/>
          <w:sz w:val="26"/>
          <w:szCs w:val="26"/>
          <w:lang w:val="ro-RO"/>
        </w:rPr>
        <w:t>UNIUNEA NATIONALA A CONSILIILOR JUDETENE DIN ROMANIA,</w:t>
      </w:r>
    </w:p>
    <w:p w14:paraId="419EF1AC" w14:textId="77777777" w:rsidR="00E71DC6" w:rsidRPr="00B75EC9" w:rsidRDefault="00E71DC6" w:rsidP="00E71DC6">
      <w:pPr>
        <w:jc w:val="center"/>
        <w:rPr>
          <w:rFonts w:eastAsia="Calibri" w:cs="Times New Roman"/>
          <w:b/>
          <w:sz w:val="26"/>
          <w:szCs w:val="26"/>
          <w:lang w:val="ro-RO"/>
        </w:rPr>
      </w:pPr>
    </w:p>
    <w:p w14:paraId="09AA20F7" w14:textId="77777777" w:rsidR="00E71DC6" w:rsidRPr="00B75EC9" w:rsidRDefault="00E71DC6" w:rsidP="00E71DC6">
      <w:pPr>
        <w:rPr>
          <w:rFonts w:eastAsia="Calibri" w:cs="Times New Roman"/>
          <w:b/>
          <w:sz w:val="26"/>
          <w:szCs w:val="26"/>
          <w:lang w:val="ro-RO"/>
        </w:rPr>
      </w:pPr>
      <w:r w:rsidRPr="00B75EC9">
        <w:rPr>
          <w:rFonts w:eastAsia="Calibri" w:cs="Times New Roman"/>
          <w:b/>
          <w:sz w:val="26"/>
          <w:szCs w:val="26"/>
          <w:lang w:val="ro-RO"/>
        </w:rPr>
        <w:t>În atenția Domnului Sorin Munteanu,</w:t>
      </w:r>
    </w:p>
    <w:p w14:paraId="5EBF5029" w14:textId="77777777" w:rsidR="00E71DC6" w:rsidRPr="00B75EC9" w:rsidRDefault="00E71DC6" w:rsidP="00E71DC6">
      <w:pPr>
        <w:rPr>
          <w:rFonts w:eastAsia="Calibri" w:cs="Times New Roman"/>
          <w:b/>
          <w:sz w:val="26"/>
          <w:szCs w:val="26"/>
          <w:lang w:val="ro-RO"/>
        </w:rPr>
      </w:pPr>
      <w:r w:rsidRPr="00B75EC9">
        <w:rPr>
          <w:rFonts w:eastAsia="Calibri" w:cs="Times New Roman"/>
          <w:b/>
          <w:sz w:val="26"/>
          <w:szCs w:val="26"/>
          <w:lang w:val="ro-RO"/>
        </w:rPr>
        <w:t xml:space="preserve">Stimate Domnule Director General, </w:t>
      </w:r>
    </w:p>
    <w:p w14:paraId="192244C4" w14:textId="77777777" w:rsidR="00E71DC6" w:rsidRPr="00B75EC9" w:rsidRDefault="00E71DC6" w:rsidP="00E71DC6">
      <w:pPr>
        <w:jc w:val="both"/>
        <w:rPr>
          <w:rFonts w:eastAsia="Calibri" w:cs="Times New Roman"/>
          <w:sz w:val="26"/>
          <w:szCs w:val="26"/>
          <w:lang w:val="ro-RO"/>
        </w:rPr>
      </w:pPr>
    </w:p>
    <w:p w14:paraId="52B4E4A6" w14:textId="77777777" w:rsidR="00E71DC6" w:rsidRDefault="00E71DC6" w:rsidP="00E71DC6">
      <w:pPr>
        <w:jc w:val="both"/>
        <w:rPr>
          <w:rFonts w:eastAsia="Calibri" w:cs="Times New Roman"/>
          <w:i/>
          <w:sz w:val="26"/>
          <w:szCs w:val="26"/>
          <w:lang w:val="ro-RO"/>
        </w:rPr>
      </w:pPr>
      <w:r>
        <w:rPr>
          <w:rFonts w:eastAsia="Calibri" w:cs="Times New Roman"/>
          <w:sz w:val="26"/>
          <w:szCs w:val="26"/>
          <w:lang w:val="ro-RO"/>
        </w:rPr>
        <w:t xml:space="preserve">                  Vă</w:t>
      </w:r>
      <w:r w:rsidRPr="00B75EC9">
        <w:rPr>
          <w:rFonts w:eastAsia="Calibri" w:cs="Times New Roman"/>
          <w:sz w:val="26"/>
          <w:szCs w:val="26"/>
          <w:lang w:val="ro-RO"/>
        </w:rPr>
        <w:t xml:space="preserve"> transmitem, anexat, propunerile noastre privind </w:t>
      </w:r>
      <w:r w:rsidRPr="00B75EC9">
        <w:rPr>
          <w:rFonts w:eastAsia="Calibri" w:cs="Times New Roman"/>
          <w:i/>
          <w:sz w:val="26"/>
          <w:szCs w:val="26"/>
          <w:lang w:val="ro-RO"/>
        </w:rPr>
        <w:t xml:space="preserve">proiectul de </w:t>
      </w:r>
      <w:r w:rsidRPr="008D6809">
        <w:rPr>
          <w:rFonts w:eastAsia="Calibri" w:cs="Times New Roman"/>
          <w:i/>
          <w:sz w:val="26"/>
          <w:szCs w:val="26"/>
          <w:lang w:val="ro-RO"/>
        </w:rPr>
        <w:t>Ordonanță pentru modificarea și completarea Legii nr. 422/2001 privind protejarea monumentelor istorice, republicată, cu modificările și completările ulterioare.</w:t>
      </w:r>
    </w:p>
    <w:p w14:paraId="00B49F28" w14:textId="77777777" w:rsidR="00E71DC6" w:rsidRPr="00B75EC9" w:rsidRDefault="00E71DC6" w:rsidP="00E71DC6">
      <w:pPr>
        <w:jc w:val="both"/>
        <w:rPr>
          <w:rFonts w:eastAsia="Calibri" w:cs="Times New Roman"/>
          <w:sz w:val="26"/>
          <w:szCs w:val="26"/>
          <w:lang w:val="ro-RO"/>
        </w:rPr>
      </w:pPr>
      <w:r w:rsidRPr="00B75EC9">
        <w:rPr>
          <w:rFonts w:eastAsia="Calibri" w:cs="Times New Roman"/>
          <w:sz w:val="26"/>
          <w:szCs w:val="26"/>
          <w:lang w:val="ro-RO"/>
        </w:rPr>
        <w:t>În speranța susținerii acestei propuneri, vă mulțumim pentru sprijinul acordat și vă asigurăm de întreaga noastră apreciere și considerație.</w:t>
      </w:r>
    </w:p>
    <w:p w14:paraId="2C4A75C2" w14:textId="77777777" w:rsidR="00E71DC6" w:rsidRPr="00B75EC9" w:rsidRDefault="00E71DC6" w:rsidP="00E71DC6">
      <w:pPr>
        <w:rPr>
          <w:rFonts w:eastAsia="Calibri" w:cs="Times New Roman"/>
          <w:sz w:val="26"/>
          <w:szCs w:val="26"/>
          <w:lang w:val="ro-RO"/>
        </w:rPr>
      </w:pPr>
      <w:r w:rsidRPr="00B75EC9">
        <w:rPr>
          <w:rFonts w:eastAsia="Calibri" w:cs="Times New Roman"/>
          <w:sz w:val="26"/>
          <w:szCs w:val="26"/>
          <w:lang w:val="ro-RO"/>
        </w:rPr>
        <w:t>Cu stimă,</w:t>
      </w:r>
    </w:p>
    <w:p w14:paraId="3F945E1B" w14:textId="77777777" w:rsidR="00E71DC6" w:rsidRPr="00B75EC9" w:rsidRDefault="00E71DC6" w:rsidP="00E71DC6">
      <w:pPr>
        <w:rPr>
          <w:rFonts w:eastAsia="Calibri" w:cs="Times New Roman"/>
          <w:sz w:val="26"/>
          <w:szCs w:val="26"/>
          <w:lang w:val="ro-RO"/>
        </w:rPr>
      </w:pPr>
    </w:p>
    <w:p w14:paraId="39EB13DA" w14:textId="6DD8CDB1" w:rsidR="00E71DC6" w:rsidRPr="00B75EC9" w:rsidRDefault="00E71DC6" w:rsidP="00E71DC6">
      <w:pPr>
        <w:rPr>
          <w:rFonts w:eastAsia="Calibri" w:cs="Times New Roman"/>
          <w:sz w:val="26"/>
          <w:szCs w:val="26"/>
          <w:lang w:val="ro-RO"/>
        </w:rPr>
      </w:pPr>
      <w:proofErr w:type="spellStart"/>
      <w:r>
        <w:rPr>
          <w:rFonts w:eastAsia="Calibri" w:cs="Times New Roman"/>
          <w:sz w:val="26"/>
          <w:szCs w:val="26"/>
          <w:lang w:val="ro-RO"/>
        </w:rPr>
        <w:t>Borboly</w:t>
      </w:r>
      <w:proofErr w:type="spellEnd"/>
      <w:r>
        <w:rPr>
          <w:rFonts w:eastAsia="Calibri" w:cs="Times New Roman"/>
          <w:sz w:val="26"/>
          <w:szCs w:val="26"/>
          <w:lang w:val="ro-RO"/>
        </w:rPr>
        <w:t xml:space="preserve"> Csaba</w:t>
      </w:r>
    </w:p>
    <w:p w14:paraId="5AF7A8FD" w14:textId="77777777" w:rsidR="00E71DC6" w:rsidRPr="00B75EC9" w:rsidRDefault="00E71DC6" w:rsidP="00E71DC6">
      <w:pPr>
        <w:spacing w:after="0"/>
        <w:jc w:val="both"/>
        <w:rPr>
          <w:rFonts w:eastAsia="Calibri" w:cs="Times New Roman"/>
          <w:sz w:val="26"/>
          <w:szCs w:val="26"/>
        </w:rPr>
      </w:pPr>
    </w:p>
    <w:p w14:paraId="6A1AE23A" w14:textId="77777777" w:rsidR="00E71DC6" w:rsidRPr="00B75EC9" w:rsidRDefault="00E71DC6" w:rsidP="00E71DC6">
      <w:pPr>
        <w:spacing w:after="0"/>
        <w:jc w:val="both"/>
        <w:rPr>
          <w:rFonts w:eastAsia="Calibri" w:cs="Times New Roman"/>
          <w:sz w:val="26"/>
          <w:szCs w:val="26"/>
        </w:rPr>
      </w:pPr>
    </w:p>
    <w:p w14:paraId="2465AFA0" w14:textId="77777777" w:rsidR="00E71DC6" w:rsidRDefault="00E71DC6" w:rsidP="00E71DC6">
      <w:pPr>
        <w:spacing w:after="0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  <w:sz w:val="26"/>
          <w:szCs w:val="26"/>
        </w:rPr>
        <w:t>Miercurea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Ciuc</w:t>
      </w:r>
      <w:proofErr w:type="spellEnd"/>
      <w:r>
        <w:rPr>
          <w:rFonts w:eastAsia="Calibri" w:cs="Times New Roman"/>
          <w:sz w:val="26"/>
          <w:szCs w:val="26"/>
        </w:rPr>
        <w:t>, 2</w:t>
      </w:r>
      <w:r w:rsidRPr="00B75EC9">
        <w:rPr>
          <w:rFonts w:eastAsia="Calibri" w:cs="Times New Roman"/>
          <w:sz w:val="26"/>
          <w:szCs w:val="26"/>
        </w:rPr>
        <w:t xml:space="preserve">5 </w:t>
      </w:r>
      <w:proofErr w:type="spellStart"/>
      <w:r>
        <w:rPr>
          <w:rFonts w:eastAsia="Calibri" w:cs="Times New Roman"/>
          <w:sz w:val="26"/>
          <w:szCs w:val="26"/>
        </w:rPr>
        <w:t>ianuarie</w:t>
      </w:r>
      <w:proofErr w:type="spellEnd"/>
      <w:r>
        <w:rPr>
          <w:rFonts w:eastAsia="Calibri" w:cs="Times New Roman"/>
          <w:sz w:val="26"/>
          <w:szCs w:val="26"/>
        </w:rPr>
        <w:t xml:space="preserve"> 2024</w:t>
      </w:r>
      <w:r w:rsidRPr="00B75EC9">
        <w:rPr>
          <w:rFonts w:eastAsia="Calibri" w:cs="Times New Roman"/>
          <w:sz w:val="26"/>
          <w:szCs w:val="26"/>
        </w:rPr>
        <w:t>.</w:t>
      </w:r>
      <w:r w:rsidRPr="00B75EC9">
        <w:rPr>
          <w:rFonts w:eastAsia="Calibri" w:cs="Times New Roman"/>
        </w:rPr>
        <w:tab/>
      </w:r>
    </w:p>
    <w:p w14:paraId="6C0F5DD2" w14:textId="77777777" w:rsidR="00E71DC6" w:rsidRPr="00B75EC9" w:rsidRDefault="00E71DC6" w:rsidP="00E71DC6">
      <w:pPr>
        <w:spacing w:after="0"/>
        <w:jc w:val="both"/>
        <w:rPr>
          <w:rFonts w:eastAsia="Calibri" w:cs="Times New Roman"/>
          <w:sz w:val="26"/>
          <w:szCs w:val="26"/>
          <w:lang w:val="ro-RO"/>
        </w:rPr>
      </w:pPr>
    </w:p>
    <w:p w14:paraId="248F332F" w14:textId="77777777" w:rsidR="00E71DC6" w:rsidRDefault="00E71DC6" w:rsidP="00E71DC6">
      <w:pPr>
        <w:jc w:val="center"/>
        <w:rPr>
          <w:rFonts w:eastAsia="Calibri" w:cs="Times New Roman"/>
          <w:b/>
          <w:sz w:val="26"/>
          <w:szCs w:val="26"/>
          <w:lang w:val="en-GB"/>
        </w:rPr>
      </w:pPr>
    </w:p>
    <w:p w14:paraId="24AB4926" w14:textId="77777777" w:rsidR="00E71DC6" w:rsidRPr="005551AE" w:rsidRDefault="00E71DC6" w:rsidP="00E71DC6">
      <w:pPr>
        <w:jc w:val="center"/>
        <w:rPr>
          <w:rFonts w:eastAsia="Calibri" w:cs="Times New Roman"/>
          <w:b/>
          <w:sz w:val="26"/>
          <w:szCs w:val="26"/>
          <w:lang w:val="en-GB"/>
        </w:rPr>
      </w:pPr>
      <w:r w:rsidRPr="005551AE">
        <w:rPr>
          <w:rFonts w:eastAsia="Calibri" w:cs="Times New Roman"/>
          <w:b/>
          <w:sz w:val="26"/>
          <w:szCs w:val="26"/>
          <w:lang w:val="en-GB"/>
        </w:rPr>
        <w:t>PROPUNERE</w:t>
      </w:r>
    </w:p>
    <w:p w14:paraId="5A21FDB0" w14:textId="77777777" w:rsidR="00E71DC6" w:rsidRDefault="00E71DC6" w:rsidP="00E71DC6">
      <w:pPr>
        <w:jc w:val="both"/>
        <w:rPr>
          <w:rFonts w:eastAsia="Calibri" w:cs="Times New Roman"/>
          <w:b/>
          <w:i/>
          <w:color w:val="000000"/>
          <w:sz w:val="26"/>
          <w:szCs w:val="26"/>
          <w:shd w:val="clear" w:color="auto" w:fill="FFFFFF"/>
          <w:lang w:val="ro-RO"/>
        </w:rPr>
      </w:pPr>
      <w:r>
        <w:rPr>
          <w:rFonts w:eastAsia="Calibri" w:cs="Times New Roman"/>
          <w:b/>
          <w:bCs/>
          <w:sz w:val="26"/>
          <w:szCs w:val="26"/>
          <w:lang w:val="ro-RO"/>
        </w:rPr>
        <w:t>V</w:t>
      </w:r>
      <w:r w:rsidRPr="001A1402">
        <w:rPr>
          <w:rFonts w:eastAsia="Calibri" w:cs="Times New Roman"/>
          <w:b/>
          <w:bCs/>
          <w:sz w:val="26"/>
          <w:szCs w:val="26"/>
          <w:lang w:val="ro-RO"/>
        </w:rPr>
        <w:t>ă transmitem alătur</w:t>
      </w:r>
      <w:r>
        <w:rPr>
          <w:rFonts w:eastAsia="Calibri" w:cs="Times New Roman"/>
          <w:b/>
          <w:bCs/>
          <w:sz w:val="26"/>
          <w:szCs w:val="26"/>
          <w:lang w:val="ro-RO"/>
        </w:rPr>
        <w:t xml:space="preserve">at propunerea noastră formulată privind </w:t>
      </w:r>
      <w:r w:rsidRPr="005A0FE9">
        <w:rPr>
          <w:rFonts w:eastAsia="Calibri" w:cs="Times New Roman"/>
          <w:b/>
          <w:i/>
          <w:color w:val="000000"/>
          <w:sz w:val="26"/>
          <w:szCs w:val="26"/>
          <w:shd w:val="clear" w:color="auto" w:fill="FFFFFF"/>
          <w:lang w:val="ro-RO"/>
        </w:rPr>
        <w:t xml:space="preserve">proiectul de </w:t>
      </w:r>
      <w:r w:rsidRPr="008D6809">
        <w:rPr>
          <w:rFonts w:eastAsia="Calibri" w:cs="Times New Roman"/>
          <w:b/>
          <w:i/>
          <w:color w:val="000000"/>
          <w:sz w:val="26"/>
          <w:szCs w:val="26"/>
          <w:shd w:val="clear" w:color="auto" w:fill="FFFFFF"/>
          <w:lang w:val="ro-RO"/>
        </w:rPr>
        <w:t>proiectul de Ordonanță pentru modificarea și completarea Legii nr. 422/2001 privind protejarea monumentelor istorice, republicată, cu modificările și completările ulterioare.</w:t>
      </w:r>
      <w:r>
        <w:rPr>
          <w:rFonts w:eastAsia="Calibri" w:cs="Times New Roman"/>
          <w:b/>
          <w:i/>
          <w:color w:val="000000"/>
          <w:sz w:val="26"/>
          <w:szCs w:val="26"/>
          <w:shd w:val="clear" w:color="auto" w:fill="FFFFFF"/>
          <w:lang w:val="ro-RO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3"/>
        <w:gridCol w:w="4497"/>
        <w:gridCol w:w="4486"/>
      </w:tblGrid>
      <w:tr w:rsidR="00E71DC6" w:rsidRPr="00600815" w14:paraId="3D01700D" w14:textId="77777777" w:rsidTr="00996CB5">
        <w:trPr>
          <w:trHeight w:val="486"/>
        </w:trPr>
        <w:tc>
          <w:tcPr>
            <w:tcW w:w="0" w:type="auto"/>
          </w:tcPr>
          <w:p w14:paraId="650E1C55" w14:textId="77777777" w:rsidR="00E71DC6" w:rsidRPr="00600815" w:rsidRDefault="00E71DC6" w:rsidP="00996CB5">
            <w:pPr>
              <w:pStyle w:val="Frspaiere"/>
              <w:jc w:val="both"/>
              <w:rPr>
                <w:rFonts w:ascii="Arial" w:hAnsi="Arial" w:cs="Arial"/>
                <w:b/>
                <w:lang w:val="ro-RO"/>
              </w:rPr>
            </w:pPr>
            <w:r w:rsidRPr="00600815">
              <w:rPr>
                <w:rFonts w:ascii="Arial" w:hAnsi="Arial" w:cs="Arial"/>
                <w:b/>
                <w:lang w:val="ro-RO"/>
              </w:rPr>
              <w:t>Nr. crt.</w:t>
            </w:r>
          </w:p>
        </w:tc>
        <w:tc>
          <w:tcPr>
            <w:tcW w:w="0" w:type="auto"/>
            <w:shd w:val="clear" w:color="auto" w:fill="auto"/>
          </w:tcPr>
          <w:p w14:paraId="6961C916" w14:textId="77777777" w:rsidR="00E71DC6" w:rsidRPr="00600815" w:rsidRDefault="00E71DC6" w:rsidP="00996CB5">
            <w:pPr>
              <w:pStyle w:val="Frspaiere"/>
              <w:jc w:val="both"/>
              <w:rPr>
                <w:rFonts w:ascii="Arial" w:hAnsi="Arial" w:cs="Arial"/>
                <w:b/>
                <w:lang w:val="ro-RO"/>
              </w:rPr>
            </w:pPr>
            <w:r w:rsidRPr="00600815">
              <w:rPr>
                <w:rFonts w:ascii="Arial" w:hAnsi="Arial" w:cs="Arial"/>
                <w:b/>
                <w:lang w:val="ro-RO"/>
              </w:rPr>
              <w:t>Forma în vigoare</w:t>
            </w:r>
          </w:p>
        </w:tc>
        <w:tc>
          <w:tcPr>
            <w:tcW w:w="0" w:type="auto"/>
          </w:tcPr>
          <w:p w14:paraId="676C3385" w14:textId="77777777" w:rsidR="00E71DC6" w:rsidRPr="00600815" w:rsidRDefault="00E71DC6" w:rsidP="00996CB5">
            <w:pPr>
              <w:pStyle w:val="Frspaiere"/>
              <w:jc w:val="both"/>
              <w:rPr>
                <w:rFonts w:ascii="Arial" w:hAnsi="Arial" w:cs="Arial"/>
                <w:b/>
                <w:lang w:val="ro-RO"/>
              </w:rPr>
            </w:pPr>
            <w:r w:rsidRPr="00600815">
              <w:rPr>
                <w:rFonts w:ascii="Arial" w:hAnsi="Arial" w:cs="Arial"/>
                <w:b/>
                <w:lang w:val="ro-RO"/>
              </w:rPr>
              <w:t>Proiect OG</w:t>
            </w:r>
          </w:p>
        </w:tc>
      </w:tr>
      <w:tr w:rsidR="00D63D76" w:rsidRPr="00600815" w14:paraId="01B00E63" w14:textId="77777777" w:rsidTr="00996CB5">
        <w:trPr>
          <w:trHeight w:val="486"/>
        </w:trPr>
        <w:tc>
          <w:tcPr>
            <w:tcW w:w="0" w:type="auto"/>
            <w:shd w:val="clear" w:color="auto" w:fill="auto"/>
          </w:tcPr>
          <w:p w14:paraId="29919AA3" w14:textId="77777777" w:rsidR="00D63D76" w:rsidRPr="00600815" w:rsidRDefault="00D63D76" w:rsidP="00996CB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Style w:val="ar1"/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6090ECD" w14:textId="77777777" w:rsidR="00D63D76" w:rsidRPr="009F129B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  <w:r w:rsidRPr="009F129B">
              <w:rPr>
                <w:rFonts w:ascii="Arial" w:hAnsi="Arial" w:cs="Arial"/>
                <w:b/>
                <w:bCs/>
                <w:color w:val="0000AF"/>
                <w:lang w:eastAsia="ro-RO"/>
              </w:rPr>
              <w:t>Art. 21</w:t>
            </w:r>
          </w:p>
          <w:p w14:paraId="5489B832" w14:textId="77777777" w:rsidR="00D63D76" w:rsidRPr="009F129B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  <w:bookmarkStart w:id="0" w:name="do|ttII|caII|ar21|al1"/>
            <w:bookmarkEnd w:id="0"/>
            <w:r w:rsidRPr="009F129B">
              <w:rPr>
                <w:rFonts w:ascii="Arial" w:hAnsi="Arial" w:cs="Arial"/>
                <w:b/>
                <w:bCs/>
                <w:color w:val="008F00"/>
                <w:lang w:eastAsia="ro-RO"/>
              </w:rPr>
              <w:t>(1)</w:t>
            </w:r>
            <w:proofErr w:type="spellStart"/>
            <w:r w:rsidRPr="009F129B">
              <w:rPr>
                <w:rFonts w:ascii="Arial" w:hAnsi="Arial" w:cs="Arial"/>
                <w:b/>
                <w:lang w:eastAsia="ro-RO"/>
              </w:rPr>
              <w:t>Clasarea</w:t>
            </w:r>
            <w:proofErr w:type="spellEnd"/>
            <w:r w:rsidRPr="009F129B">
              <w:rPr>
                <w:rFonts w:ascii="Arial" w:hAnsi="Arial" w:cs="Arial"/>
                <w:b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b/>
                <w:lang w:eastAsia="ro-RO"/>
              </w:rPr>
              <w:t>urgenţă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este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procedura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excepţională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prin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care un bun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imobil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aflat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în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pericol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iminent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distrugere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sau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alterare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fizică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este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clasat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în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grupa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A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sau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B,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după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caz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,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în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vederea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luării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măsurilor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urgente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necesare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pentru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salvarea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sa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>.</w:t>
            </w:r>
          </w:p>
          <w:p w14:paraId="426C3B64" w14:textId="77777777" w:rsidR="00D63D76" w:rsidRPr="009F129B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  <w:bookmarkStart w:id="1" w:name="do|ttII|caII|ar21|al2"/>
            <w:bookmarkEnd w:id="1"/>
            <w:r w:rsidRPr="009F129B">
              <w:rPr>
                <w:rFonts w:ascii="Arial" w:hAnsi="Arial" w:cs="Arial"/>
                <w:b/>
                <w:bCs/>
                <w:color w:val="008F00"/>
                <w:lang w:eastAsia="ro-RO"/>
              </w:rPr>
              <w:t>(2)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Serviciile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publice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deconcentrate ale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Ministerului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Culturii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şi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Cultelor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pot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declanşa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procedura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clasare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urgenţă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, </w:t>
            </w:r>
            <w:r w:rsidRPr="009F129B">
              <w:rPr>
                <w:rFonts w:ascii="Arial" w:hAnsi="Arial" w:cs="Arial"/>
                <w:b/>
                <w:lang w:eastAsia="ro-RO"/>
              </w:rPr>
              <w:t xml:space="preserve">din </w:t>
            </w:r>
            <w:proofErr w:type="spellStart"/>
            <w:r w:rsidRPr="009F129B">
              <w:rPr>
                <w:rFonts w:ascii="Arial" w:hAnsi="Arial" w:cs="Arial"/>
                <w:b/>
                <w:lang w:eastAsia="ro-RO"/>
              </w:rPr>
              <w:t>oficiu</w:t>
            </w:r>
            <w:proofErr w:type="spellEnd"/>
            <w:r w:rsidRPr="009F129B">
              <w:rPr>
                <w:rFonts w:ascii="Arial" w:hAnsi="Arial" w:cs="Arial"/>
                <w:b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b/>
                <w:lang w:eastAsia="ro-RO"/>
              </w:rPr>
              <w:t>sau</w:t>
            </w:r>
            <w:proofErr w:type="spellEnd"/>
            <w:r w:rsidRPr="009F129B">
              <w:rPr>
                <w:rFonts w:ascii="Arial" w:hAnsi="Arial" w:cs="Arial"/>
                <w:b/>
                <w:lang w:eastAsia="ro-RO"/>
              </w:rPr>
              <w:t xml:space="preserve"> la </w:t>
            </w:r>
            <w:proofErr w:type="spellStart"/>
            <w:r w:rsidRPr="009F129B">
              <w:rPr>
                <w:rFonts w:ascii="Arial" w:hAnsi="Arial" w:cs="Arial"/>
                <w:b/>
                <w:lang w:eastAsia="ro-RO"/>
              </w:rPr>
              <w:t>solicitarea</w:t>
            </w:r>
            <w:proofErr w:type="spellEnd"/>
            <w:r w:rsidRPr="009F129B">
              <w:rPr>
                <w:rFonts w:ascii="Arial" w:hAnsi="Arial" w:cs="Arial"/>
                <w:b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b/>
                <w:lang w:eastAsia="ro-RO"/>
              </w:rPr>
              <w:t>oricărei</w:t>
            </w:r>
            <w:proofErr w:type="spellEnd"/>
            <w:r w:rsidRPr="009F129B">
              <w:rPr>
                <w:rFonts w:ascii="Arial" w:hAnsi="Arial" w:cs="Arial"/>
                <w:b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b/>
                <w:lang w:eastAsia="ro-RO"/>
              </w:rPr>
              <w:t>persoane</w:t>
            </w:r>
            <w:proofErr w:type="spellEnd"/>
            <w:r w:rsidRPr="009F129B">
              <w:rPr>
                <w:rFonts w:ascii="Arial" w:hAnsi="Arial" w:cs="Arial"/>
                <w:b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b/>
                <w:lang w:eastAsia="ro-RO"/>
              </w:rPr>
              <w:t>interesate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>.</w:t>
            </w:r>
          </w:p>
          <w:p w14:paraId="4D2F5461" w14:textId="77777777" w:rsidR="00D63D76" w:rsidRPr="009F129B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  <w:bookmarkStart w:id="2" w:name="do|ttII|caII|ar21|al3"/>
            <w:bookmarkEnd w:id="2"/>
            <w:r w:rsidRPr="009F129B">
              <w:rPr>
                <w:rFonts w:ascii="Arial" w:hAnsi="Arial" w:cs="Arial"/>
                <w:b/>
                <w:bCs/>
                <w:color w:val="008F00"/>
                <w:lang w:eastAsia="ro-RO"/>
              </w:rPr>
              <w:t>(3)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Declanşarea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procedurii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clasare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urgenţă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se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efectuează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în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maximum 3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zile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la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identificarea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situaţiei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imobilului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sau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înregistrarea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solicitării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privind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situaţia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imobilului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,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baza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notei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constatare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elaborate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delegatul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serviciului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public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deconcentrat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al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Ministerului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Culturii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şi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Cultelor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, al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muzeului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judeţean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,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respectiv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al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muzeului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municipiului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Bucureşti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,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sau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al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autorităţilor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administraţiei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publice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locale,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după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caz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>.</w:t>
            </w:r>
          </w:p>
          <w:p w14:paraId="2BC4DA0B" w14:textId="77777777" w:rsidR="00D63D76" w:rsidRPr="009F129B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  <w:bookmarkStart w:id="3" w:name="do|ttII|caII|ar21|al4"/>
            <w:bookmarkEnd w:id="3"/>
            <w:r w:rsidRPr="009F129B">
              <w:rPr>
                <w:rFonts w:ascii="Arial" w:hAnsi="Arial" w:cs="Arial"/>
                <w:b/>
                <w:bCs/>
                <w:color w:val="008F00"/>
                <w:lang w:eastAsia="ro-RO"/>
              </w:rPr>
              <w:t>(4)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Serviciile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publice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deconcentrate ale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Ministerului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Culturii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şi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Cultelor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b/>
                <w:lang w:eastAsia="ro-RO"/>
              </w:rPr>
              <w:t>comunică</w:t>
            </w:r>
            <w:proofErr w:type="spellEnd"/>
            <w:r w:rsidRPr="009F129B">
              <w:rPr>
                <w:rFonts w:ascii="Arial" w:hAnsi="Arial" w:cs="Arial"/>
                <w:b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b/>
                <w:lang w:eastAsia="ro-RO"/>
              </w:rPr>
              <w:t>imediat</w:t>
            </w:r>
            <w:proofErr w:type="spellEnd"/>
            <w:r w:rsidRPr="009F129B">
              <w:rPr>
                <w:rFonts w:ascii="Arial" w:hAnsi="Arial" w:cs="Arial"/>
                <w:b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b/>
                <w:lang w:eastAsia="ro-RO"/>
              </w:rPr>
              <w:t>în</w:t>
            </w:r>
            <w:proofErr w:type="spellEnd"/>
            <w:r w:rsidRPr="009F129B">
              <w:rPr>
                <w:rFonts w:ascii="Arial" w:hAnsi="Arial" w:cs="Arial"/>
                <w:b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b/>
                <w:lang w:eastAsia="ro-RO"/>
              </w:rPr>
              <w:t>scris</w:t>
            </w:r>
            <w:proofErr w:type="spellEnd"/>
            <w:r w:rsidRPr="009F129B">
              <w:rPr>
                <w:rFonts w:ascii="Arial" w:hAnsi="Arial" w:cs="Arial"/>
                <w:b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b/>
                <w:lang w:eastAsia="ro-RO"/>
              </w:rPr>
              <w:t>proprietarului</w:t>
            </w:r>
            <w:proofErr w:type="spellEnd"/>
            <w:r w:rsidRPr="009F129B">
              <w:rPr>
                <w:rFonts w:ascii="Arial" w:hAnsi="Arial" w:cs="Arial"/>
                <w:b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b/>
                <w:lang w:eastAsia="ro-RO"/>
              </w:rPr>
              <w:t>bunului</w:t>
            </w:r>
            <w:proofErr w:type="spellEnd"/>
            <w:r w:rsidRPr="009F129B">
              <w:rPr>
                <w:rFonts w:ascii="Arial" w:hAnsi="Arial" w:cs="Arial"/>
                <w:b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b/>
                <w:lang w:eastAsia="ro-RO"/>
              </w:rPr>
              <w:t>imobil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declanşarea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procedurii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clasare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urgenţă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gramStart"/>
            <w:r w:rsidRPr="009F129B">
              <w:rPr>
                <w:rFonts w:ascii="Arial" w:hAnsi="Arial" w:cs="Arial"/>
                <w:lang w:eastAsia="ro-RO"/>
              </w:rPr>
              <w:t>a</w:t>
            </w:r>
            <w:proofErr w:type="gram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imobilului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în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Lista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monumentelor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istorice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. De la data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comunicării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declanşării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procedurii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clasare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urgenţă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până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la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finalizarea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procedurii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,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imobilului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se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aplică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regimul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juridic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al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monumentelor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istorice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>.</w:t>
            </w:r>
          </w:p>
          <w:p w14:paraId="39ED9271" w14:textId="77777777" w:rsidR="00D63D76" w:rsidRPr="009F129B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</w:p>
          <w:p w14:paraId="6A17C699" w14:textId="77777777" w:rsidR="00D63D76" w:rsidRPr="009F129B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</w:p>
          <w:p w14:paraId="2D2ADBB6" w14:textId="77777777" w:rsidR="00D63D76" w:rsidRPr="009F129B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</w:p>
          <w:p w14:paraId="603B9FD2" w14:textId="77777777" w:rsidR="00D63D76" w:rsidRPr="009F129B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</w:p>
          <w:p w14:paraId="6A6F18CC" w14:textId="77777777" w:rsidR="00D63D76" w:rsidRPr="009F129B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</w:p>
          <w:p w14:paraId="43173E53" w14:textId="77777777" w:rsidR="00D63D76" w:rsidRPr="009F129B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</w:p>
          <w:p w14:paraId="6DBEC56D" w14:textId="77777777" w:rsidR="00D63D76" w:rsidRPr="009F129B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</w:p>
          <w:p w14:paraId="4AA8C72E" w14:textId="77777777" w:rsidR="00D63D76" w:rsidRPr="009F129B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  <w:bookmarkStart w:id="4" w:name="do|ttII|caII|ar21|al5"/>
            <w:bookmarkEnd w:id="4"/>
            <w:r w:rsidRPr="009F129B">
              <w:rPr>
                <w:rFonts w:ascii="Arial" w:hAnsi="Arial" w:cs="Arial"/>
                <w:b/>
                <w:bCs/>
                <w:color w:val="008F00"/>
                <w:lang w:eastAsia="ro-RO"/>
              </w:rPr>
              <w:lastRenderedPageBreak/>
              <w:t>(5)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Împotriva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declanşării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procedurii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clasare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urgenţă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sau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gramStart"/>
            <w:r w:rsidRPr="009F129B">
              <w:rPr>
                <w:rFonts w:ascii="Arial" w:hAnsi="Arial" w:cs="Arial"/>
                <w:lang w:eastAsia="ro-RO"/>
              </w:rPr>
              <w:t>a</w:t>
            </w:r>
            <w:proofErr w:type="gram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ordinului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clasare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urgenţă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,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proprietarul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se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poate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adresa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instanţei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contencios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administrativ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>.</w:t>
            </w:r>
          </w:p>
          <w:p w14:paraId="47EE0ECB" w14:textId="77777777" w:rsidR="00D63D76" w:rsidRPr="009F129B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  <w:bookmarkStart w:id="5" w:name="do|ttII|caII|ar21|al6"/>
            <w:bookmarkEnd w:id="5"/>
            <w:r w:rsidRPr="009F129B">
              <w:rPr>
                <w:rFonts w:ascii="Arial" w:hAnsi="Arial" w:cs="Arial"/>
                <w:b/>
                <w:bCs/>
                <w:color w:val="008F00"/>
                <w:lang w:eastAsia="ro-RO"/>
              </w:rPr>
              <w:t>(6)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Până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la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soluţionarea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litigiului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,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bunului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imobil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în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cauză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se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aplică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regimul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juridic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al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monumentelor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istorice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>.</w:t>
            </w:r>
          </w:p>
          <w:p w14:paraId="51E61B3B" w14:textId="12BA6ED8" w:rsidR="00D63D76" w:rsidRPr="00600815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AF"/>
                <w:lang w:val="ro-RO" w:eastAsia="ro-RO"/>
              </w:rPr>
            </w:pPr>
            <w:bookmarkStart w:id="6" w:name="do|ttII|caII|ar21|al7"/>
            <w:bookmarkEnd w:id="6"/>
            <w:r w:rsidRPr="009F129B">
              <w:rPr>
                <w:rFonts w:ascii="Arial" w:hAnsi="Arial" w:cs="Arial"/>
                <w:b/>
                <w:bCs/>
                <w:color w:val="008F00"/>
                <w:lang w:eastAsia="ro-RO"/>
              </w:rPr>
              <w:t>(7)</w:t>
            </w:r>
            <w:r w:rsidRPr="009F129B">
              <w:rPr>
                <w:rFonts w:ascii="Arial" w:hAnsi="Arial" w:cs="Arial"/>
                <w:lang w:eastAsia="ro-RO"/>
              </w:rPr>
              <w:t xml:space="preserve">La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solicitarea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serviciilor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deconcentrate ale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Ministerului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Culturii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şi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Cultelor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,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proprietarii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imobilelor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propuse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pentru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clasare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din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oficiu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sau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urgenţă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vor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transmite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acestora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documentele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necesare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completării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dosarului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F129B">
              <w:rPr>
                <w:rFonts w:ascii="Arial" w:hAnsi="Arial" w:cs="Arial"/>
                <w:lang w:eastAsia="ro-RO"/>
              </w:rPr>
              <w:t>clasare</w:t>
            </w:r>
            <w:proofErr w:type="spellEnd"/>
            <w:r w:rsidRPr="009F129B">
              <w:rPr>
                <w:rFonts w:ascii="Arial" w:hAnsi="Arial" w:cs="Arial"/>
                <w:lang w:eastAsia="ro-RO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53B19EE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75E818D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F9CB9A5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5A8AA3FD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3C211D5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732C198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13993F4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8ED9FCD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F186318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59E97F0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037B4B9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41CCB37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FACC4B0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2026742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1402837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553ACA2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361296FF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2378DCE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847D128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62FC3A6" w14:textId="77777777" w:rsidR="00D63D76" w:rsidRPr="009F129B" w:rsidRDefault="00D63D76" w:rsidP="00996C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F129B">
              <w:rPr>
                <w:rFonts w:ascii="Arial" w:hAnsi="Arial" w:cs="Arial"/>
                <w:b/>
              </w:rPr>
              <w:t xml:space="preserve">1. La </w:t>
            </w:r>
            <w:r w:rsidRPr="009F129B">
              <w:rPr>
                <w:rFonts w:ascii="Arial" w:hAnsi="Arial" w:cs="Arial"/>
                <w:b/>
                <w:bCs/>
                <w:lang w:val="ro-RO"/>
              </w:rPr>
              <w:t>articolul</w:t>
            </w:r>
            <w:r w:rsidRPr="009F129B">
              <w:rPr>
                <w:rFonts w:ascii="Arial" w:hAnsi="Arial" w:cs="Arial"/>
                <w:b/>
              </w:rPr>
              <w:t xml:space="preserve"> 21, </w:t>
            </w:r>
            <w:proofErr w:type="spellStart"/>
            <w:r w:rsidRPr="009F129B">
              <w:rPr>
                <w:rFonts w:ascii="Arial" w:hAnsi="Arial" w:cs="Arial"/>
                <w:b/>
              </w:rPr>
              <w:t>după</w:t>
            </w:r>
            <w:proofErr w:type="spellEnd"/>
            <w:r w:rsidRPr="009F129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b/>
              </w:rPr>
              <w:t>alineatul</w:t>
            </w:r>
            <w:proofErr w:type="spellEnd"/>
            <w:r w:rsidRPr="009F129B">
              <w:rPr>
                <w:rFonts w:ascii="Arial" w:hAnsi="Arial" w:cs="Arial"/>
                <w:b/>
              </w:rPr>
              <w:t xml:space="preserve"> (4) se introduce un </w:t>
            </w:r>
            <w:proofErr w:type="spellStart"/>
            <w:r w:rsidRPr="009F129B">
              <w:rPr>
                <w:rFonts w:ascii="Arial" w:hAnsi="Arial" w:cs="Arial"/>
                <w:b/>
              </w:rPr>
              <w:t>nou</w:t>
            </w:r>
            <w:proofErr w:type="spellEnd"/>
            <w:r w:rsidRPr="009F129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b/>
              </w:rPr>
              <w:t>alineat</w:t>
            </w:r>
            <w:proofErr w:type="spellEnd"/>
            <w:r w:rsidRPr="009F129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9F129B">
              <w:rPr>
                <w:rFonts w:ascii="Arial" w:hAnsi="Arial" w:cs="Arial"/>
                <w:b/>
              </w:rPr>
              <w:t>alin</w:t>
            </w:r>
            <w:proofErr w:type="spellEnd"/>
            <w:r w:rsidRPr="009F129B">
              <w:rPr>
                <w:rFonts w:ascii="Arial" w:hAnsi="Arial" w:cs="Arial"/>
                <w:b/>
              </w:rPr>
              <w:t>. (4</w:t>
            </w:r>
            <w:r w:rsidRPr="009F129B">
              <w:rPr>
                <w:rFonts w:ascii="Arial" w:hAnsi="Arial" w:cs="Arial"/>
                <w:b/>
                <w:vertAlign w:val="superscript"/>
              </w:rPr>
              <w:t>1</w:t>
            </w:r>
            <w:r w:rsidRPr="009F129B">
              <w:rPr>
                <w:rFonts w:ascii="Arial" w:hAnsi="Arial" w:cs="Arial"/>
                <w:b/>
              </w:rPr>
              <w:t xml:space="preserve">), cu </w:t>
            </w:r>
            <w:proofErr w:type="spellStart"/>
            <w:r w:rsidRPr="009F129B">
              <w:rPr>
                <w:rFonts w:ascii="Arial" w:hAnsi="Arial" w:cs="Arial"/>
                <w:b/>
              </w:rPr>
              <w:t>următorul</w:t>
            </w:r>
            <w:proofErr w:type="spellEnd"/>
            <w:r w:rsidRPr="009F129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F129B">
              <w:rPr>
                <w:rFonts w:ascii="Arial" w:hAnsi="Arial" w:cs="Arial"/>
                <w:b/>
              </w:rPr>
              <w:t>cuprins</w:t>
            </w:r>
            <w:proofErr w:type="spellEnd"/>
            <w:r w:rsidRPr="009F129B">
              <w:rPr>
                <w:rFonts w:ascii="Arial" w:hAnsi="Arial" w:cs="Arial"/>
                <w:b/>
              </w:rPr>
              <w:t>:</w:t>
            </w:r>
          </w:p>
          <w:p w14:paraId="03AF933C" w14:textId="43CBB563" w:rsidR="00D63D76" w:rsidRDefault="00D63D76" w:rsidP="00D6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proofErr w:type="gramStart"/>
            <w:r w:rsidRPr="009F129B">
              <w:rPr>
                <w:rFonts w:ascii="Arial" w:hAnsi="Arial" w:cs="Arial"/>
                <w:b/>
              </w:rPr>
              <w:t>„(</w:t>
            </w:r>
            <w:proofErr w:type="gramEnd"/>
            <w:r w:rsidRPr="009F129B">
              <w:rPr>
                <w:rFonts w:ascii="Arial" w:hAnsi="Arial" w:cs="Arial"/>
                <w:b/>
              </w:rPr>
              <w:t>4</w:t>
            </w:r>
            <w:r w:rsidRPr="009F129B">
              <w:rPr>
                <w:rFonts w:ascii="Arial" w:hAnsi="Arial" w:cs="Arial"/>
                <w:b/>
                <w:vertAlign w:val="superscript"/>
              </w:rPr>
              <w:t>1</w:t>
            </w:r>
            <w:r w:rsidRPr="009F129B">
              <w:rPr>
                <w:rFonts w:ascii="Arial" w:hAnsi="Arial" w:cs="Arial"/>
                <w:b/>
              </w:rPr>
              <w:t>)</w:t>
            </w:r>
            <w:r w:rsidRPr="009F129B">
              <w:rPr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În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cazul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în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care un monument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istoric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nu are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proprietar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cunoscut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,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comunicarea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deciziei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privind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declanșarea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procedurii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de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clasare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de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urgență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, se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consideră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realizată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prin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afișarea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acesteia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r w:rsidRPr="00D63D76">
              <w:rPr>
                <w:rStyle w:val="tal1"/>
                <w:rFonts w:ascii="Arial" w:hAnsi="Arial" w:cs="Arial"/>
                <w:b/>
              </w:rPr>
              <w:t xml:space="preserve">la </w:t>
            </w:r>
            <w:proofErr w:type="spellStart"/>
            <w:r w:rsidRPr="00D63D76">
              <w:rPr>
                <w:rStyle w:val="tal1"/>
                <w:rFonts w:ascii="Arial" w:hAnsi="Arial" w:cs="Arial"/>
                <w:b/>
              </w:rPr>
              <w:t>intrarea</w:t>
            </w:r>
            <w:proofErr w:type="spellEnd"/>
            <w:r w:rsidRPr="00D63D76">
              <w:rPr>
                <w:rStyle w:val="tal1"/>
                <w:rFonts w:ascii="Arial" w:hAnsi="Arial" w:cs="Arial"/>
                <w:b/>
              </w:rPr>
              <w:t xml:space="preserve"> </w:t>
            </w:r>
            <w:proofErr w:type="spellStart"/>
            <w:r w:rsidRPr="00D63D76">
              <w:rPr>
                <w:rStyle w:val="tal1"/>
                <w:rFonts w:ascii="Arial" w:hAnsi="Arial" w:cs="Arial"/>
                <w:b/>
              </w:rPr>
              <w:t>imobilului</w:t>
            </w:r>
            <w:proofErr w:type="spellEnd"/>
            <w:r w:rsidRPr="00D63D76">
              <w:rPr>
                <w:rStyle w:val="tal1"/>
                <w:rFonts w:ascii="Arial" w:hAnsi="Arial" w:cs="Arial"/>
                <w:b/>
              </w:rPr>
              <w:t xml:space="preserve"> </w:t>
            </w:r>
            <w:r>
              <w:rPr>
                <w:rStyle w:val="tal1"/>
                <w:rFonts w:ascii="Arial" w:hAnsi="Arial" w:cs="Arial"/>
                <w:b/>
                <w:lang w:val="ro-RO"/>
              </w:rPr>
              <w:t>î</w:t>
            </w:r>
            <w:r w:rsidRPr="00D63D76">
              <w:rPr>
                <w:rStyle w:val="tal1"/>
                <w:rFonts w:ascii="Arial" w:hAnsi="Arial" w:cs="Arial"/>
                <w:b/>
              </w:rPr>
              <w:t xml:space="preserve">n </w:t>
            </w:r>
            <w:proofErr w:type="spellStart"/>
            <w:r w:rsidRPr="00D63D76">
              <w:rPr>
                <w:rStyle w:val="tal1"/>
                <w:rFonts w:ascii="Arial" w:hAnsi="Arial" w:cs="Arial"/>
                <w:b/>
              </w:rPr>
              <w:t>loc</w:t>
            </w:r>
            <w:proofErr w:type="spellEnd"/>
            <w:r w:rsidRPr="00D63D76">
              <w:rPr>
                <w:rStyle w:val="tal1"/>
                <w:rFonts w:ascii="Arial" w:hAnsi="Arial" w:cs="Arial"/>
                <w:b/>
              </w:rPr>
              <w:t xml:space="preserve"> </w:t>
            </w:r>
            <w:proofErr w:type="spellStart"/>
            <w:r w:rsidRPr="00D63D76">
              <w:rPr>
                <w:rStyle w:val="tal1"/>
                <w:rFonts w:ascii="Arial" w:hAnsi="Arial" w:cs="Arial"/>
                <w:b/>
              </w:rPr>
              <w:t>vizibil</w:t>
            </w:r>
            <w:proofErr w:type="spellEnd"/>
            <w:r>
              <w:rPr>
                <w:rStyle w:val="tal1"/>
                <w:rFonts w:ascii="Arial" w:hAnsi="Arial" w:cs="Arial"/>
                <w:b/>
              </w:rPr>
              <w:t>, la</w:t>
            </w:r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sediul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primăriei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și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al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serviciului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public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deconcentrat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al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Ministerului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Culturii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pe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al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cărui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teritoriu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administrativ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se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află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bunul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imobil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în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cauză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,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precum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și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pe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paginile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de internet ale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acestora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. De la data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afișării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deciziei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privind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declanșarea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procedurii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de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clasare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de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urgență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și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până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la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publicarea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ordinului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de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clasare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sau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până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la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comunicarea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răspunsului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motivat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privind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neclasarea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,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după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caz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,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bunului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imobil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în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cauză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i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se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aplică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regimul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juridic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al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monumentelor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 xml:space="preserve"> </w:t>
            </w:r>
            <w:proofErr w:type="spellStart"/>
            <w:r w:rsidRPr="009F129B">
              <w:rPr>
                <w:rStyle w:val="tal1"/>
                <w:rFonts w:ascii="Arial" w:hAnsi="Arial" w:cs="Arial"/>
              </w:rPr>
              <w:t>istorice</w:t>
            </w:r>
            <w:proofErr w:type="spellEnd"/>
            <w:r w:rsidRPr="009F129B">
              <w:rPr>
                <w:rStyle w:val="tal1"/>
                <w:rFonts w:ascii="Arial" w:hAnsi="Arial" w:cs="Arial"/>
              </w:rPr>
              <w:t>.</w:t>
            </w:r>
            <w:r w:rsidRPr="009F129B">
              <w:rPr>
                <w:rFonts w:ascii="Arial" w:hAnsi="Arial" w:cs="Arial"/>
              </w:rPr>
              <w:t>”</w:t>
            </w:r>
          </w:p>
        </w:tc>
      </w:tr>
      <w:tr w:rsidR="00D63D76" w:rsidRPr="00600815" w14:paraId="24CBC5DE" w14:textId="77777777" w:rsidTr="00996CB5">
        <w:trPr>
          <w:trHeight w:val="486"/>
        </w:trPr>
        <w:tc>
          <w:tcPr>
            <w:tcW w:w="0" w:type="auto"/>
            <w:shd w:val="clear" w:color="auto" w:fill="auto"/>
          </w:tcPr>
          <w:p w14:paraId="7B346A6D" w14:textId="77777777" w:rsidR="00D63D76" w:rsidRPr="00600815" w:rsidRDefault="00D63D76" w:rsidP="00996CB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Style w:val="ar1"/>
                <w:rFonts w:ascii="Arial" w:hAnsi="Arial" w:cs="Arial"/>
                <w:lang w:val="ro-RO"/>
              </w:rPr>
            </w:pPr>
            <w:bookmarkStart w:id="7" w:name="_Hlk79868541"/>
          </w:p>
        </w:tc>
        <w:tc>
          <w:tcPr>
            <w:tcW w:w="0" w:type="auto"/>
            <w:shd w:val="clear" w:color="auto" w:fill="auto"/>
          </w:tcPr>
          <w:p w14:paraId="24E3D148" w14:textId="77777777" w:rsidR="00D63D76" w:rsidRPr="00600815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AF"/>
                <w:lang w:val="ro-RO" w:eastAsia="ro-RO"/>
              </w:rPr>
            </w:pPr>
            <w:r w:rsidRPr="00600815">
              <w:rPr>
                <w:rFonts w:ascii="Arial" w:hAnsi="Arial" w:cs="Arial"/>
                <w:b/>
                <w:bCs/>
                <w:color w:val="0000AF"/>
                <w:lang w:val="ro-RO" w:eastAsia="ro-RO"/>
              </w:rPr>
              <w:t>Art. 37</w:t>
            </w:r>
          </w:p>
          <w:p w14:paraId="52E09065" w14:textId="77777777" w:rsidR="00D63D76" w:rsidRPr="00600815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AF"/>
                <w:lang w:val="ro-RO" w:eastAsia="ro-RO"/>
              </w:rPr>
            </w:pPr>
            <w:r w:rsidRPr="008D6809">
              <w:rPr>
                <w:rStyle w:val="salnttl"/>
                <w:rFonts w:ascii="Arial" w:hAnsi="Arial" w:cs="Arial"/>
                <w:b/>
                <w:color w:val="4F6228"/>
                <w:bdr w:val="none" w:sz="0" w:space="0" w:color="auto" w:frame="1"/>
                <w:shd w:val="clear" w:color="auto" w:fill="FFFFFF"/>
                <w:lang w:val="ro-RO"/>
              </w:rPr>
              <w:t>(2)</w:t>
            </w:r>
            <w:r w:rsidRPr="00600815">
              <w:rPr>
                <w:rFonts w:ascii="Arial" w:hAnsi="Arial" w:cs="Arial"/>
                <w:color w:val="000000"/>
                <w:shd w:val="clear" w:color="auto" w:fill="FFFFFF"/>
                <w:lang w:val="ro-RO"/>
              </w:rPr>
              <w:t> </w:t>
            </w:r>
            <w:r w:rsidRPr="00600815">
              <w:rPr>
                <w:rStyle w:val="salnbdy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val="ro-RO"/>
              </w:rPr>
              <w:t>În cazul în care statul sau autoritățile publice locale acordă sprijin financiar, acesta constă în acoperirea parțială sau totală a costurilor studiilor și documentațiilor tehnice, precum și, după caz, ale lucrărilor de intervenție asupra monumentelor istorice.</w:t>
            </w:r>
          </w:p>
          <w:p w14:paraId="0C105959" w14:textId="77777777" w:rsidR="00D63D76" w:rsidRPr="00600815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ro-RO" w:eastAsia="ro-RO"/>
              </w:rPr>
            </w:pPr>
          </w:p>
          <w:p w14:paraId="6A4058F6" w14:textId="77777777" w:rsidR="00D63D76" w:rsidRPr="00600815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AF"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14:paraId="41A1C6F5" w14:textId="77777777" w:rsidR="00D63D76" w:rsidRDefault="00D63D76" w:rsidP="0099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14:paraId="765A8CED" w14:textId="5237AD75" w:rsidR="00D63D76" w:rsidRPr="00600815" w:rsidRDefault="00E65B4C" w:rsidP="0099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2</w:t>
            </w:r>
            <w:r w:rsidR="00D63D76" w:rsidRPr="00600815">
              <w:rPr>
                <w:rFonts w:ascii="Arial" w:hAnsi="Arial" w:cs="Arial"/>
                <w:b/>
                <w:bCs/>
                <w:lang w:val="ro-RO"/>
              </w:rPr>
              <w:t>. La articolul 37,</w:t>
            </w:r>
            <w:r w:rsidR="00D63D76" w:rsidRPr="00600815">
              <w:rPr>
                <w:rStyle w:val="tpa1"/>
                <w:rFonts w:ascii="Arial" w:hAnsi="Arial" w:cs="Arial"/>
                <w:lang w:val="ro-RO"/>
              </w:rPr>
              <w:t xml:space="preserve"> </w:t>
            </w:r>
            <w:r w:rsidR="00D63D76" w:rsidRPr="00600815">
              <w:rPr>
                <w:rStyle w:val="tpa1"/>
                <w:rFonts w:ascii="Arial" w:hAnsi="Arial" w:cs="Arial"/>
                <w:b/>
                <w:lang w:val="ro-RO"/>
              </w:rPr>
              <w:t>după alin. (2),</w:t>
            </w:r>
            <w:r w:rsidR="00D63D76" w:rsidRPr="00600815">
              <w:rPr>
                <w:rStyle w:val="tpa1"/>
                <w:rFonts w:ascii="Arial" w:hAnsi="Arial" w:cs="Arial"/>
                <w:lang w:val="ro-RO"/>
              </w:rPr>
              <w:t xml:space="preserve"> </w:t>
            </w:r>
            <w:r w:rsidR="00D63D76" w:rsidRPr="00600815">
              <w:rPr>
                <w:rFonts w:ascii="Arial" w:hAnsi="Arial" w:cs="Arial"/>
                <w:b/>
                <w:lang w:val="ro-RO"/>
              </w:rPr>
              <w:t>se introduce un nou alineat, alin. (2</w:t>
            </w:r>
            <w:r w:rsidR="00D63D76" w:rsidRPr="00600815">
              <w:rPr>
                <w:rFonts w:ascii="Arial" w:hAnsi="Arial" w:cs="Arial"/>
                <w:b/>
                <w:vertAlign w:val="superscript"/>
                <w:lang w:val="ro-RO"/>
              </w:rPr>
              <w:t>1</w:t>
            </w:r>
            <w:r w:rsidR="00D63D76" w:rsidRPr="00600815">
              <w:rPr>
                <w:rFonts w:ascii="Arial" w:hAnsi="Arial" w:cs="Arial"/>
                <w:b/>
                <w:lang w:val="ro-RO"/>
              </w:rPr>
              <w:t>), cu următorul cuprins:</w:t>
            </w:r>
          </w:p>
          <w:p w14:paraId="0ADD5DD5" w14:textId="77777777" w:rsidR="00D63D76" w:rsidRDefault="00D63D76" w:rsidP="00996CB5">
            <w:pPr>
              <w:shd w:val="clear" w:color="auto" w:fill="FFFFFF"/>
              <w:tabs>
                <w:tab w:val="left" w:pos="36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6965600F" w14:textId="77777777" w:rsidR="00D63D76" w:rsidRDefault="00D63D76" w:rsidP="00996CB5">
            <w:pPr>
              <w:shd w:val="clear" w:color="auto" w:fill="FFFFFF"/>
              <w:tabs>
                <w:tab w:val="left" w:pos="36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71231BAD" w14:textId="49DA19DD" w:rsidR="00D63D76" w:rsidRPr="00600815" w:rsidRDefault="00D63D76" w:rsidP="00996CB5">
            <w:pPr>
              <w:shd w:val="clear" w:color="auto" w:fill="FFFFFF"/>
              <w:tabs>
                <w:tab w:val="left" w:pos="36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lang w:val="ro-RO" w:eastAsia="ro-RO"/>
              </w:rPr>
            </w:pPr>
            <w:r w:rsidRPr="00600815">
              <w:rPr>
                <w:rFonts w:ascii="Arial" w:hAnsi="Arial" w:cs="Arial"/>
                <w:b/>
                <w:lang w:val="ro-RO"/>
              </w:rPr>
              <w:t>(2</w:t>
            </w:r>
            <w:r w:rsidRPr="00600815">
              <w:rPr>
                <w:rFonts w:ascii="Arial" w:hAnsi="Arial" w:cs="Arial"/>
                <w:b/>
                <w:vertAlign w:val="superscript"/>
                <w:lang w:val="ro-RO"/>
              </w:rPr>
              <w:t>1</w:t>
            </w:r>
            <w:r w:rsidRPr="00600815">
              <w:rPr>
                <w:rFonts w:ascii="Arial" w:hAnsi="Arial" w:cs="Arial"/>
                <w:b/>
                <w:lang w:val="ro-RO"/>
              </w:rPr>
              <w:t>)</w:t>
            </w:r>
            <w:r w:rsidRPr="00600815">
              <w:rPr>
                <w:rFonts w:ascii="Arial" w:hAnsi="Arial" w:cs="Arial"/>
                <w:lang w:val="ro-RO"/>
              </w:rPr>
              <w:t xml:space="preserve"> </w:t>
            </w:r>
            <w:r w:rsidRPr="00600815">
              <w:rPr>
                <w:rStyle w:val="salnbdy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val="ro-RO"/>
              </w:rPr>
              <w:t xml:space="preserve">În cazul în care statul sau autoritățile publice locale acordă sprijin financiar, </w:t>
            </w:r>
            <w:r>
              <w:rPr>
                <w:rStyle w:val="salnbdy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val="ro-RO"/>
              </w:rPr>
              <w:t>care</w:t>
            </w:r>
            <w:r w:rsidRPr="00600815">
              <w:rPr>
                <w:rStyle w:val="salnbdy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val="ro-RO"/>
              </w:rPr>
              <w:t xml:space="preserve"> constă în acoperirea parțială sau totală a costurilor studiilor și documentațiilor tehnice, </w:t>
            </w:r>
            <w:r w:rsidRPr="00600815">
              <w:rPr>
                <w:rStyle w:val="salnbdy"/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  <w:lang w:val="ro-RO"/>
              </w:rPr>
              <w:t>nu este obligatorie constituirea de garanții</w:t>
            </w:r>
            <w:r>
              <w:rPr>
                <w:rStyle w:val="salnbdy"/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  <w:lang w:val="ro-RO"/>
              </w:rPr>
              <w:t xml:space="preserve">, </w:t>
            </w:r>
            <w:r w:rsidRPr="00C6731C">
              <w:rPr>
                <w:rFonts w:ascii="Arial" w:hAnsi="Arial" w:cs="Arial"/>
                <w:b/>
                <w:bCs/>
                <w:lang w:val="ro-RO" w:eastAsia="ro-RO"/>
              </w:rPr>
              <w:t>reprezentând interdicție de înstrăinare</w:t>
            </w:r>
            <w:r w:rsidRPr="00600815">
              <w:rPr>
                <w:rStyle w:val="salnbdy"/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  <w:lang w:val="ro-RO"/>
              </w:rPr>
              <w:t xml:space="preserve"> de către beneficiarii contribuției.</w:t>
            </w:r>
          </w:p>
          <w:p w14:paraId="6AE9C231" w14:textId="77777777" w:rsidR="00D63D76" w:rsidRPr="00600815" w:rsidRDefault="00D63D76" w:rsidP="0099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r1"/>
                <w:rFonts w:ascii="Arial" w:hAnsi="Arial" w:cs="Arial"/>
                <w:lang w:val="ro-RO"/>
              </w:rPr>
            </w:pPr>
          </w:p>
        </w:tc>
      </w:tr>
      <w:tr w:rsidR="00D63D76" w:rsidRPr="00600815" w14:paraId="5164F7F2" w14:textId="77777777" w:rsidTr="00996CB5">
        <w:trPr>
          <w:trHeight w:val="486"/>
        </w:trPr>
        <w:tc>
          <w:tcPr>
            <w:tcW w:w="0" w:type="auto"/>
            <w:shd w:val="clear" w:color="auto" w:fill="auto"/>
          </w:tcPr>
          <w:p w14:paraId="38729710" w14:textId="77777777" w:rsidR="00D63D76" w:rsidRPr="00600815" w:rsidRDefault="00D63D76" w:rsidP="00996CB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Style w:val="ar1"/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F1A0A3F" w14:textId="77777777" w:rsidR="00D63D76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AF"/>
                <w:lang w:val="ro-RO" w:eastAsia="ro-RO"/>
              </w:rPr>
            </w:pPr>
            <w:r w:rsidRPr="00600815">
              <w:rPr>
                <w:rFonts w:ascii="Arial" w:hAnsi="Arial" w:cs="Arial"/>
                <w:b/>
                <w:bCs/>
                <w:color w:val="0000AF"/>
                <w:lang w:val="ro-RO" w:eastAsia="ro-RO"/>
              </w:rPr>
              <w:t>Art. 3</w:t>
            </w:r>
            <w:r>
              <w:rPr>
                <w:rFonts w:ascii="Arial" w:hAnsi="Arial" w:cs="Arial"/>
                <w:b/>
                <w:bCs/>
                <w:color w:val="0000AF"/>
                <w:lang w:val="ro-RO" w:eastAsia="ro-RO"/>
              </w:rPr>
              <w:t>8</w:t>
            </w:r>
          </w:p>
          <w:p w14:paraId="4507C6AA" w14:textId="77777777" w:rsidR="00D63D76" w:rsidRPr="001E362C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lang w:val="ro-RO" w:eastAsia="ro-RO"/>
              </w:rPr>
            </w:pPr>
            <w:r w:rsidRPr="008D6809">
              <w:rPr>
                <w:rFonts w:ascii="Arial" w:hAnsi="Arial" w:cs="Arial"/>
                <w:b/>
                <w:bCs/>
                <w:color w:val="4F6228"/>
                <w:lang w:val="ro-RO" w:eastAsia="ro-RO"/>
              </w:rPr>
              <w:t>(5)</w:t>
            </w:r>
            <w:r w:rsidRPr="001E362C">
              <w:rPr>
                <w:rFonts w:ascii="Arial" w:hAnsi="Arial" w:cs="Arial"/>
                <w:bCs/>
                <w:lang w:val="ro-RO" w:eastAsia="ro-RO"/>
              </w:rPr>
              <w:t xml:space="preserve"> În situațiile și în condițiile prevăzute la alin. (4), la data alocării sprijinului financiar în cuantumul contribuției statului sau a autorităților administrației publice locale asupra imobilului monument istoric în cauză se constituie o garanție imobiliară pentru o perioadă de 10 ani în favoarea statului, respectiv a unităților administrativ-teritoriale.</w:t>
            </w:r>
          </w:p>
          <w:p w14:paraId="565D2EF0" w14:textId="77777777" w:rsidR="00D63D76" w:rsidRPr="00600815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AF"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14:paraId="4FDE9C75" w14:textId="31818344" w:rsidR="00D63D76" w:rsidRDefault="00E65B4C" w:rsidP="00996CB5">
            <w:pPr>
              <w:pStyle w:val="Listparagra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3</w:t>
            </w:r>
            <w:r w:rsidR="00D63D76">
              <w:rPr>
                <w:rFonts w:ascii="Arial" w:hAnsi="Arial" w:cs="Arial"/>
                <w:b/>
                <w:bCs/>
                <w:lang w:val="ro-RO"/>
              </w:rPr>
              <w:t xml:space="preserve">. La articolul 38 alineatul (5) </w:t>
            </w:r>
            <w:r w:rsidR="00D63D76">
              <w:rPr>
                <w:rFonts w:ascii="Arial" w:hAnsi="Arial" w:cs="Arial"/>
                <w:b/>
                <w:lang w:val="ro-RO"/>
              </w:rPr>
              <w:t>se modifică și va avea următorul cuprins:</w:t>
            </w:r>
          </w:p>
          <w:p w14:paraId="2A25043B" w14:textId="77777777" w:rsidR="00D63D76" w:rsidRDefault="00D63D76" w:rsidP="0099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14:paraId="69200919" w14:textId="77777777" w:rsidR="00D63D76" w:rsidRPr="001E362C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lang w:val="ro-RO" w:eastAsia="ro-RO"/>
              </w:rPr>
            </w:pPr>
            <w:r w:rsidRPr="001E362C">
              <w:rPr>
                <w:rFonts w:ascii="Arial" w:hAnsi="Arial" w:cs="Arial"/>
                <w:bCs/>
                <w:lang w:val="ro-RO" w:eastAsia="ro-RO"/>
              </w:rPr>
              <w:t>În situațiile și în condițiile prevăzute la alin. (4), la data alocării sprijinului financiar în cuantumul contribuției statului sau a autorităților administrației publice locale asupra imobilului monument istoric în cauză se constituie o garanție imobiliară</w:t>
            </w:r>
            <w:r>
              <w:rPr>
                <w:rFonts w:ascii="Arial" w:hAnsi="Arial" w:cs="Arial"/>
                <w:bCs/>
                <w:lang w:val="ro-RO" w:eastAsia="ro-RO"/>
              </w:rPr>
              <w:t xml:space="preserve">, </w:t>
            </w:r>
            <w:r w:rsidRPr="00C6731C">
              <w:rPr>
                <w:rFonts w:ascii="Arial" w:hAnsi="Arial" w:cs="Arial"/>
                <w:b/>
                <w:bCs/>
                <w:lang w:val="ro-RO" w:eastAsia="ro-RO"/>
              </w:rPr>
              <w:t>reprezentând interdicție de înstrăinare</w:t>
            </w:r>
            <w:r w:rsidRPr="001E362C">
              <w:rPr>
                <w:rFonts w:ascii="Arial" w:hAnsi="Arial" w:cs="Arial"/>
                <w:bCs/>
                <w:lang w:val="ro-RO" w:eastAsia="ro-RO"/>
              </w:rPr>
              <w:t xml:space="preserve"> pentru o perioadă de 10 ani în favoarea statului, respectiv a unităților administrativ-teritoriale.</w:t>
            </w:r>
          </w:p>
          <w:p w14:paraId="0D09F0BB" w14:textId="77777777" w:rsidR="00D63D76" w:rsidRDefault="00D63D76" w:rsidP="0099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  <w:tr w:rsidR="00D63D76" w:rsidRPr="00600815" w14:paraId="5BA353A4" w14:textId="77777777" w:rsidTr="00996CB5">
        <w:trPr>
          <w:trHeight w:val="486"/>
        </w:trPr>
        <w:tc>
          <w:tcPr>
            <w:tcW w:w="0" w:type="auto"/>
            <w:shd w:val="clear" w:color="auto" w:fill="auto"/>
          </w:tcPr>
          <w:p w14:paraId="2988D9BB" w14:textId="77777777" w:rsidR="00D63D76" w:rsidRPr="00600815" w:rsidRDefault="00D63D76" w:rsidP="00996CB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Style w:val="ar1"/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215941C" w14:textId="77777777" w:rsidR="00D63D76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AF"/>
                <w:lang w:val="ro-RO" w:eastAsia="ro-RO"/>
              </w:rPr>
            </w:pPr>
            <w:r w:rsidRPr="00600815">
              <w:rPr>
                <w:rFonts w:ascii="Arial" w:hAnsi="Arial" w:cs="Arial"/>
                <w:b/>
                <w:bCs/>
                <w:color w:val="0000AF"/>
                <w:lang w:val="ro-RO" w:eastAsia="ro-RO"/>
              </w:rPr>
              <w:t>Art. 3</w:t>
            </w:r>
            <w:r>
              <w:rPr>
                <w:rFonts w:ascii="Arial" w:hAnsi="Arial" w:cs="Arial"/>
                <w:b/>
                <w:bCs/>
                <w:color w:val="0000AF"/>
                <w:lang w:val="ro-RO" w:eastAsia="ro-RO"/>
              </w:rPr>
              <w:t>8</w:t>
            </w:r>
          </w:p>
          <w:p w14:paraId="10DF99FE" w14:textId="77777777" w:rsidR="00D63D76" w:rsidRPr="001E362C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lang w:val="ro-RO" w:eastAsia="ro-RO"/>
              </w:rPr>
            </w:pPr>
            <w:r w:rsidRPr="008D6809">
              <w:rPr>
                <w:rFonts w:ascii="Arial" w:hAnsi="Arial" w:cs="Arial"/>
                <w:b/>
                <w:bCs/>
                <w:color w:val="4F6228"/>
                <w:lang w:val="ro-RO" w:eastAsia="ro-RO"/>
              </w:rPr>
              <w:t>(5)</w:t>
            </w:r>
            <w:r w:rsidRPr="001E362C">
              <w:rPr>
                <w:rFonts w:ascii="Arial" w:hAnsi="Arial" w:cs="Arial"/>
                <w:bCs/>
                <w:lang w:val="ro-RO" w:eastAsia="ro-RO"/>
              </w:rPr>
              <w:t xml:space="preserve"> În situațiile și în condițiile prevăzute la alin. (4), la data alocării sprijinului financiar în cuantumul contribuției statului sau a autorităților administrației publice locale asupra imobilului monument istoric în cauză se constituie o garanție imobiliară pentru o </w:t>
            </w:r>
            <w:r w:rsidRPr="001E362C">
              <w:rPr>
                <w:rFonts w:ascii="Arial" w:hAnsi="Arial" w:cs="Arial"/>
                <w:bCs/>
                <w:lang w:val="ro-RO" w:eastAsia="ro-RO"/>
              </w:rPr>
              <w:lastRenderedPageBreak/>
              <w:t>perioadă de 10 ani în favoarea statului, respectiv a unităților administrativ-teritoriale.</w:t>
            </w:r>
          </w:p>
          <w:p w14:paraId="6D235201" w14:textId="77777777" w:rsidR="00D63D76" w:rsidRPr="00600815" w:rsidRDefault="00D63D76" w:rsidP="00996CB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AF"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14:paraId="7F0DF210" w14:textId="14440720" w:rsidR="00D63D76" w:rsidRPr="00600815" w:rsidRDefault="00E65B4C" w:rsidP="0099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lastRenderedPageBreak/>
              <w:t>4</w:t>
            </w:r>
            <w:bookmarkStart w:id="8" w:name="_GoBack"/>
            <w:bookmarkEnd w:id="8"/>
            <w:r w:rsidR="00D63D76" w:rsidRPr="00600815">
              <w:rPr>
                <w:rFonts w:ascii="Arial" w:hAnsi="Arial" w:cs="Arial"/>
                <w:b/>
                <w:bCs/>
                <w:lang w:val="ro-RO"/>
              </w:rPr>
              <w:t xml:space="preserve">. La articolul </w:t>
            </w:r>
            <w:r w:rsidR="00D63D76">
              <w:rPr>
                <w:rFonts w:ascii="Arial" w:hAnsi="Arial" w:cs="Arial"/>
                <w:b/>
                <w:bCs/>
                <w:lang w:val="ro-RO"/>
              </w:rPr>
              <w:t>38</w:t>
            </w:r>
            <w:r w:rsidR="00D63D76" w:rsidRPr="00600815">
              <w:rPr>
                <w:rFonts w:ascii="Arial" w:hAnsi="Arial" w:cs="Arial"/>
                <w:b/>
                <w:bCs/>
                <w:lang w:val="ro-RO"/>
              </w:rPr>
              <w:t>,</w:t>
            </w:r>
            <w:r w:rsidR="00D63D76" w:rsidRPr="00600815">
              <w:rPr>
                <w:rStyle w:val="tpa1"/>
                <w:rFonts w:ascii="Arial" w:hAnsi="Arial" w:cs="Arial"/>
                <w:lang w:val="ro-RO"/>
              </w:rPr>
              <w:t xml:space="preserve"> </w:t>
            </w:r>
            <w:r w:rsidR="00D63D76" w:rsidRPr="00600815">
              <w:rPr>
                <w:rStyle w:val="tpa1"/>
                <w:rFonts w:ascii="Arial" w:hAnsi="Arial" w:cs="Arial"/>
                <w:b/>
                <w:lang w:val="ro-RO"/>
              </w:rPr>
              <w:t>după alin. (</w:t>
            </w:r>
            <w:r w:rsidR="00D63D76">
              <w:rPr>
                <w:rStyle w:val="tpa1"/>
                <w:rFonts w:ascii="Arial" w:hAnsi="Arial" w:cs="Arial"/>
                <w:b/>
                <w:lang w:val="ro-RO"/>
              </w:rPr>
              <w:t>5</w:t>
            </w:r>
            <w:r w:rsidR="00D63D76" w:rsidRPr="00600815">
              <w:rPr>
                <w:rStyle w:val="tpa1"/>
                <w:rFonts w:ascii="Arial" w:hAnsi="Arial" w:cs="Arial"/>
                <w:b/>
                <w:lang w:val="ro-RO"/>
              </w:rPr>
              <w:t>),</w:t>
            </w:r>
            <w:r w:rsidR="00D63D76" w:rsidRPr="00600815">
              <w:rPr>
                <w:rStyle w:val="tpa1"/>
                <w:rFonts w:ascii="Arial" w:hAnsi="Arial" w:cs="Arial"/>
                <w:lang w:val="ro-RO"/>
              </w:rPr>
              <w:t xml:space="preserve"> </w:t>
            </w:r>
            <w:r w:rsidR="00D63D76" w:rsidRPr="00600815">
              <w:rPr>
                <w:rFonts w:ascii="Arial" w:hAnsi="Arial" w:cs="Arial"/>
                <w:b/>
                <w:lang w:val="ro-RO"/>
              </w:rPr>
              <w:t>se introduce un nou alineat, alin. (</w:t>
            </w:r>
            <w:r w:rsidR="00D63D76">
              <w:rPr>
                <w:rFonts w:ascii="Arial" w:hAnsi="Arial" w:cs="Arial"/>
                <w:b/>
                <w:lang w:val="ro-RO"/>
              </w:rPr>
              <w:t>5</w:t>
            </w:r>
            <w:r w:rsidR="00D63D76" w:rsidRPr="00600815">
              <w:rPr>
                <w:rFonts w:ascii="Arial" w:hAnsi="Arial" w:cs="Arial"/>
                <w:b/>
                <w:vertAlign w:val="superscript"/>
                <w:lang w:val="ro-RO"/>
              </w:rPr>
              <w:t>1</w:t>
            </w:r>
            <w:r w:rsidR="00D63D76" w:rsidRPr="00600815">
              <w:rPr>
                <w:rFonts w:ascii="Arial" w:hAnsi="Arial" w:cs="Arial"/>
                <w:b/>
                <w:lang w:val="ro-RO"/>
              </w:rPr>
              <w:t>), cu următorul cuprins:</w:t>
            </w:r>
          </w:p>
          <w:p w14:paraId="550C39D6" w14:textId="77777777" w:rsidR="00D63D76" w:rsidRPr="008D6809" w:rsidRDefault="00D63D76" w:rsidP="00996CB5">
            <w:pPr>
              <w:shd w:val="clear" w:color="auto" w:fill="FFFFFF"/>
              <w:tabs>
                <w:tab w:val="left" w:pos="36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4F6228"/>
                <w:lang w:val="ro-RO"/>
              </w:rPr>
            </w:pPr>
          </w:p>
          <w:p w14:paraId="5113A17B" w14:textId="77777777" w:rsidR="00D63D76" w:rsidRPr="008D6809" w:rsidRDefault="00D63D76" w:rsidP="00996CB5">
            <w:pPr>
              <w:shd w:val="clear" w:color="auto" w:fill="FFFFFF"/>
              <w:tabs>
                <w:tab w:val="left" w:pos="36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4F6228"/>
                <w:lang w:val="hu-HU"/>
              </w:rPr>
            </w:pPr>
          </w:p>
          <w:p w14:paraId="7926C43F" w14:textId="77777777" w:rsidR="00D63D76" w:rsidRPr="008D6809" w:rsidRDefault="00D63D76" w:rsidP="00996CB5">
            <w:pPr>
              <w:shd w:val="clear" w:color="auto" w:fill="FFFFFF"/>
              <w:tabs>
                <w:tab w:val="left" w:pos="36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4F6228"/>
                <w:lang w:val="ro-RO"/>
              </w:rPr>
            </w:pPr>
          </w:p>
          <w:p w14:paraId="5F43998C" w14:textId="77777777" w:rsidR="00D63D76" w:rsidRPr="00600815" w:rsidRDefault="00D63D76" w:rsidP="00996CB5">
            <w:pPr>
              <w:shd w:val="clear" w:color="auto" w:fill="FFFFFF"/>
              <w:tabs>
                <w:tab w:val="left" w:pos="36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lang w:val="ro-RO" w:eastAsia="ro-RO"/>
              </w:rPr>
            </w:pPr>
            <w:r w:rsidRPr="008D6809">
              <w:rPr>
                <w:rFonts w:ascii="Arial" w:hAnsi="Arial" w:cs="Arial"/>
                <w:b/>
                <w:color w:val="4F6228"/>
                <w:lang w:val="ro-RO"/>
              </w:rPr>
              <w:t>(5</w:t>
            </w:r>
            <w:r w:rsidRPr="008D6809">
              <w:rPr>
                <w:rFonts w:ascii="Arial" w:hAnsi="Arial" w:cs="Arial"/>
                <w:b/>
                <w:color w:val="4F6228"/>
                <w:vertAlign w:val="superscript"/>
                <w:lang w:val="ro-RO"/>
              </w:rPr>
              <w:t>1</w:t>
            </w:r>
            <w:r w:rsidRPr="008D6809">
              <w:rPr>
                <w:rFonts w:ascii="Arial" w:hAnsi="Arial" w:cs="Arial"/>
                <w:b/>
                <w:color w:val="4F6228"/>
                <w:lang w:val="ro-RO"/>
              </w:rPr>
              <w:t>)</w:t>
            </w:r>
            <w:r w:rsidRPr="00600815">
              <w:rPr>
                <w:rFonts w:ascii="Arial" w:hAnsi="Arial" w:cs="Arial"/>
                <w:lang w:val="ro-RO"/>
              </w:rPr>
              <w:t xml:space="preserve"> </w:t>
            </w:r>
            <w:r w:rsidRPr="001E362C">
              <w:rPr>
                <w:rFonts w:ascii="Arial" w:hAnsi="Arial" w:cs="Arial"/>
                <w:bCs/>
                <w:lang w:val="ro-RO" w:eastAsia="ro-RO"/>
              </w:rPr>
              <w:t>În situațiile și în condițiile prevăzute la alin. (4)</w:t>
            </w:r>
            <w:r>
              <w:rPr>
                <w:rFonts w:ascii="Arial" w:hAnsi="Arial" w:cs="Arial"/>
                <w:bCs/>
                <w:lang w:val="ro-RO" w:eastAsia="ro-RO"/>
              </w:rPr>
              <w:t xml:space="preserve">, </w:t>
            </w:r>
            <w:r w:rsidRPr="007E1FD7">
              <w:rPr>
                <w:rFonts w:ascii="Arial" w:hAnsi="Arial" w:cs="Arial"/>
                <w:bCs/>
                <w:lang w:val="ro-RO" w:eastAsia="ro-RO"/>
              </w:rPr>
              <w:t>î</w:t>
            </w:r>
            <w:r w:rsidRPr="007E1FD7">
              <w:rPr>
                <w:rFonts w:ascii="Arial" w:hAnsi="Arial" w:cs="Arial"/>
                <w:bCs/>
                <w:lang w:val="ro-RO"/>
              </w:rPr>
              <w:t>n cazul în care beneficiarul</w:t>
            </w:r>
            <w:r>
              <w:rPr>
                <w:rFonts w:ascii="Arial" w:hAnsi="Arial" w:cs="Arial"/>
                <w:bCs/>
                <w:lang w:val="ro-RO"/>
              </w:rPr>
              <w:t xml:space="preserve"> contribuției financiare este</w:t>
            </w:r>
            <w:r w:rsidRPr="007E1FD7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3A2AF3">
              <w:rPr>
                <w:rFonts w:ascii="Arial" w:hAnsi="Arial" w:cs="Arial"/>
                <w:bCs/>
                <w:lang w:val="ro-RO"/>
              </w:rPr>
              <w:t>Patriarhia, mitropolia, arhiepiscopia, episcopia, vicariatul, protopopiatul (protoieria), mânăstirea şi parohia</w:t>
            </w:r>
            <w:r>
              <w:rPr>
                <w:rFonts w:ascii="Arial" w:hAnsi="Arial" w:cs="Arial"/>
                <w:bCs/>
                <w:lang w:val="ro-RO"/>
              </w:rPr>
              <w:t xml:space="preserve">, </w:t>
            </w:r>
            <w:r w:rsidRPr="00600815">
              <w:rPr>
                <w:rStyle w:val="salnbdy"/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  <w:lang w:val="ro-RO"/>
              </w:rPr>
              <w:t>nu este obligatorie constituirea de garanții</w:t>
            </w:r>
            <w:r>
              <w:rPr>
                <w:rStyle w:val="salnbdy"/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  <w:lang w:val="ro-RO"/>
              </w:rPr>
              <w:t xml:space="preserve"> imobiliare</w:t>
            </w:r>
            <w:r w:rsidRPr="00600815">
              <w:rPr>
                <w:rStyle w:val="salnbdy"/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  <w:lang w:val="ro-RO"/>
              </w:rPr>
              <w:t xml:space="preserve"> de către beneficiarii contribuției.</w:t>
            </w:r>
          </w:p>
          <w:p w14:paraId="3F668905" w14:textId="77777777" w:rsidR="00D63D76" w:rsidRPr="00600815" w:rsidRDefault="00D63D76" w:rsidP="0099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  <w:bookmarkEnd w:id="7"/>
    </w:tbl>
    <w:p w14:paraId="23CC97B7" w14:textId="77777777" w:rsidR="00E71DC6" w:rsidRPr="005A0FE9" w:rsidRDefault="00E71DC6" w:rsidP="00E71DC6">
      <w:pPr>
        <w:jc w:val="both"/>
        <w:rPr>
          <w:rFonts w:eastAsia="Calibri" w:cs="Times New Roman"/>
          <w:b/>
          <w:i/>
          <w:color w:val="000000"/>
          <w:sz w:val="26"/>
          <w:szCs w:val="26"/>
          <w:shd w:val="clear" w:color="auto" w:fill="FFFFFF"/>
          <w:lang w:val="ro-RO"/>
        </w:rPr>
      </w:pPr>
    </w:p>
    <w:p w14:paraId="7AE518D9" w14:textId="77777777" w:rsidR="00E71DC6" w:rsidRDefault="00E71DC6" w:rsidP="00E71DC6">
      <w:pPr>
        <w:jc w:val="right"/>
        <w:rPr>
          <w:rFonts w:cs="Times New Roman"/>
        </w:rPr>
      </w:pPr>
    </w:p>
    <w:p w14:paraId="3335103C" w14:textId="77777777" w:rsidR="00FE7718" w:rsidRDefault="00FE7718" w:rsidP="000A67FD">
      <w:pPr>
        <w:jc w:val="both"/>
      </w:pPr>
    </w:p>
    <w:p w14:paraId="15BC9AC0" w14:textId="77777777" w:rsidR="00FE7718" w:rsidRDefault="00FE7718" w:rsidP="000A67FD">
      <w:pPr>
        <w:jc w:val="both"/>
      </w:pPr>
    </w:p>
    <w:p w14:paraId="7F898021" w14:textId="77777777" w:rsidR="00FE7718" w:rsidRDefault="00FE7718" w:rsidP="000A67FD">
      <w:pPr>
        <w:jc w:val="both"/>
      </w:pPr>
    </w:p>
    <w:p w14:paraId="59055DA9" w14:textId="77777777" w:rsidR="00FE7718" w:rsidRDefault="00FE7718" w:rsidP="000A67FD">
      <w:pPr>
        <w:jc w:val="both"/>
      </w:pPr>
    </w:p>
    <w:p w14:paraId="3DE6F6FC" w14:textId="77777777" w:rsidR="00FE7718" w:rsidRDefault="00FE7718" w:rsidP="000A67FD">
      <w:pPr>
        <w:jc w:val="both"/>
      </w:pPr>
    </w:p>
    <w:p w14:paraId="609DEC2C" w14:textId="77777777" w:rsidR="00FE7718" w:rsidRDefault="00FE7718" w:rsidP="000A67FD">
      <w:pPr>
        <w:jc w:val="both"/>
      </w:pPr>
    </w:p>
    <w:p w14:paraId="257A50E4" w14:textId="77777777" w:rsidR="00FE7718" w:rsidRDefault="00FE7718" w:rsidP="000A67FD">
      <w:pPr>
        <w:jc w:val="both"/>
      </w:pPr>
    </w:p>
    <w:p w14:paraId="607E0CCC" w14:textId="77777777" w:rsidR="00FE7718" w:rsidRDefault="00FE7718" w:rsidP="000A67FD">
      <w:pPr>
        <w:jc w:val="both"/>
      </w:pPr>
    </w:p>
    <w:p w14:paraId="5EBDE35F" w14:textId="77777777" w:rsidR="00FE7718" w:rsidRDefault="00FE7718" w:rsidP="000A67FD">
      <w:pPr>
        <w:jc w:val="both"/>
      </w:pPr>
    </w:p>
    <w:p w14:paraId="35C8979E" w14:textId="77777777" w:rsidR="00FE7718" w:rsidRDefault="00FE7718" w:rsidP="000A67FD">
      <w:pPr>
        <w:jc w:val="both"/>
      </w:pPr>
    </w:p>
    <w:p w14:paraId="6B6D55A6" w14:textId="77777777" w:rsidR="00FE7718" w:rsidRDefault="00FE7718" w:rsidP="000A67FD">
      <w:pPr>
        <w:jc w:val="both"/>
      </w:pPr>
    </w:p>
    <w:p w14:paraId="5C7BA58F" w14:textId="77777777" w:rsidR="00FE7718" w:rsidRDefault="00FE7718" w:rsidP="000A67FD">
      <w:pPr>
        <w:jc w:val="both"/>
      </w:pPr>
    </w:p>
    <w:p w14:paraId="541526B7" w14:textId="77777777" w:rsidR="009C409F" w:rsidRDefault="009C409F" w:rsidP="000A67FD">
      <w:pPr>
        <w:jc w:val="both"/>
      </w:pPr>
    </w:p>
    <w:p w14:paraId="5C7E866B" w14:textId="77777777" w:rsidR="009C409F" w:rsidRDefault="009C409F" w:rsidP="000A67FD">
      <w:pPr>
        <w:jc w:val="both"/>
      </w:pPr>
    </w:p>
    <w:p w14:paraId="447F595C" w14:textId="77777777" w:rsidR="009C409F" w:rsidRDefault="009C409F" w:rsidP="000A67FD">
      <w:pPr>
        <w:jc w:val="both"/>
      </w:pPr>
    </w:p>
    <w:p w14:paraId="1E1A97D2" w14:textId="77777777" w:rsidR="009C409F" w:rsidRDefault="009C409F" w:rsidP="000A67FD">
      <w:pPr>
        <w:jc w:val="both"/>
      </w:pPr>
    </w:p>
    <w:p w14:paraId="793AB91C" w14:textId="77777777" w:rsidR="009C409F" w:rsidRDefault="009C409F" w:rsidP="000A67FD">
      <w:pPr>
        <w:jc w:val="both"/>
      </w:pPr>
    </w:p>
    <w:p w14:paraId="0C4EB875" w14:textId="77777777" w:rsidR="009C409F" w:rsidRDefault="009C409F" w:rsidP="000A67FD">
      <w:pPr>
        <w:jc w:val="both"/>
      </w:pPr>
    </w:p>
    <w:p w14:paraId="00688370" w14:textId="77777777" w:rsidR="009C409F" w:rsidRDefault="009C409F" w:rsidP="000A67FD">
      <w:pPr>
        <w:jc w:val="both"/>
      </w:pPr>
    </w:p>
    <w:p w14:paraId="0E80D238" w14:textId="77777777" w:rsidR="009C409F" w:rsidRDefault="009C409F" w:rsidP="000A67FD">
      <w:pPr>
        <w:jc w:val="both"/>
      </w:pPr>
    </w:p>
    <w:p w14:paraId="3D663E5F" w14:textId="77777777" w:rsidR="009C409F" w:rsidRDefault="009C409F" w:rsidP="000A67FD">
      <w:pPr>
        <w:jc w:val="both"/>
      </w:pPr>
    </w:p>
    <w:sectPr w:rsidR="009C409F" w:rsidSect="009C409F">
      <w:footerReference w:type="default" r:id="rId9"/>
      <w:headerReference w:type="first" r:id="rId10"/>
      <w:footerReference w:type="first" r:id="rId11"/>
      <w:pgSz w:w="12240" w:h="15840"/>
      <w:pgMar w:top="11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490E8" w14:textId="77777777" w:rsidR="005E288A" w:rsidRDefault="005E288A" w:rsidP="003D5631">
      <w:pPr>
        <w:spacing w:after="0" w:line="240" w:lineRule="auto"/>
      </w:pPr>
      <w:r>
        <w:separator/>
      </w:r>
    </w:p>
  </w:endnote>
  <w:endnote w:type="continuationSeparator" w:id="0">
    <w:p w14:paraId="5131CAAE" w14:textId="77777777" w:rsidR="005E288A" w:rsidRDefault="005E288A" w:rsidP="003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5CD7E" w14:textId="3373D2DB" w:rsidR="003D5631" w:rsidRDefault="00592EEF">
    <w:pPr>
      <w:pStyle w:val="Subsol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3EFD27" wp14:editId="2A7EBD3E">
          <wp:simplePos x="0" y="0"/>
          <wp:positionH relativeFrom="column">
            <wp:posOffset>-1209675</wp:posOffset>
          </wp:positionH>
          <wp:positionV relativeFrom="paragraph">
            <wp:posOffset>-295909</wp:posOffset>
          </wp:positionV>
          <wp:extent cx="8407400" cy="1133394"/>
          <wp:effectExtent l="0" t="0" r="0" b="0"/>
          <wp:wrapNone/>
          <wp:docPr id="2065837845" name="Picture 2065837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828" cy="1136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CB193" w14:textId="599502DD" w:rsidR="006B649F" w:rsidRDefault="009C409F">
    <w:pPr>
      <w:pStyle w:val="Subsol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49BCC33" wp14:editId="6B25B1AF">
          <wp:simplePos x="0" y="0"/>
          <wp:positionH relativeFrom="page">
            <wp:align>left</wp:align>
          </wp:positionH>
          <wp:positionV relativeFrom="paragraph">
            <wp:posOffset>-276225</wp:posOffset>
          </wp:positionV>
          <wp:extent cx="8407400" cy="1133394"/>
          <wp:effectExtent l="0" t="0" r="0" b="0"/>
          <wp:wrapNone/>
          <wp:docPr id="997761782" name="Picture 997761782" descr="A green and red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553800" name="Picture 930553800" descr="A green and red fla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0" cy="1133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4190B" w14:textId="77777777" w:rsidR="005E288A" w:rsidRDefault="005E288A" w:rsidP="003D5631">
      <w:pPr>
        <w:spacing w:after="0" w:line="240" w:lineRule="auto"/>
      </w:pPr>
      <w:r>
        <w:separator/>
      </w:r>
    </w:p>
  </w:footnote>
  <w:footnote w:type="continuationSeparator" w:id="0">
    <w:p w14:paraId="281ED625" w14:textId="77777777" w:rsidR="005E288A" w:rsidRDefault="005E288A" w:rsidP="003D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285BA" w14:textId="51650F3B" w:rsidR="006B649F" w:rsidRDefault="009C409F">
    <w:pPr>
      <w:pStyle w:val="Ante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D062613" wp14:editId="7BD7AF5F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6315075" cy="3015853"/>
          <wp:effectExtent l="0" t="0" r="0" b="0"/>
          <wp:wrapNone/>
          <wp:docPr id="1421693800" name="Picture 1421693800" descr="A close-up of a white envelo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white envelo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3015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425E"/>
    <w:multiLevelType w:val="hybridMultilevel"/>
    <w:tmpl w:val="862CE3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31"/>
    <w:rsid w:val="00053475"/>
    <w:rsid w:val="000A67FD"/>
    <w:rsid w:val="000B1C8F"/>
    <w:rsid w:val="000D5ADB"/>
    <w:rsid w:val="00226D31"/>
    <w:rsid w:val="002A1192"/>
    <w:rsid w:val="00362C94"/>
    <w:rsid w:val="003D5631"/>
    <w:rsid w:val="00420650"/>
    <w:rsid w:val="004A05EA"/>
    <w:rsid w:val="004E5769"/>
    <w:rsid w:val="0052491E"/>
    <w:rsid w:val="00592EEF"/>
    <w:rsid w:val="005E288A"/>
    <w:rsid w:val="006115A8"/>
    <w:rsid w:val="006B649F"/>
    <w:rsid w:val="00737DDF"/>
    <w:rsid w:val="00882E89"/>
    <w:rsid w:val="00890C2D"/>
    <w:rsid w:val="008C6FC8"/>
    <w:rsid w:val="00975FEB"/>
    <w:rsid w:val="009C409F"/>
    <w:rsid w:val="00A61D3C"/>
    <w:rsid w:val="00AC52F6"/>
    <w:rsid w:val="00B5489B"/>
    <w:rsid w:val="00C536B8"/>
    <w:rsid w:val="00D63D76"/>
    <w:rsid w:val="00E37D66"/>
    <w:rsid w:val="00E65B4C"/>
    <w:rsid w:val="00E71DC6"/>
    <w:rsid w:val="00F44F4C"/>
    <w:rsid w:val="00FA0AD1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7D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F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D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D5631"/>
  </w:style>
  <w:style w:type="paragraph" w:styleId="Subsol">
    <w:name w:val="footer"/>
    <w:basedOn w:val="Normal"/>
    <w:link w:val="SubsolCaracter"/>
    <w:uiPriority w:val="99"/>
    <w:unhideWhenUsed/>
    <w:rsid w:val="003D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5631"/>
  </w:style>
  <w:style w:type="paragraph" w:styleId="Frspaiere">
    <w:name w:val="No Spacing"/>
    <w:basedOn w:val="Normal"/>
    <w:qFormat/>
    <w:rsid w:val="00E71DC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Listparagraf">
    <w:name w:val="List Paragraph"/>
    <w:basedOn w:val="Normal"/>
    <w:uiPriority w:val="34"/>
    <w:qFormat/>
    <w:rsid w:val="00E71DC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character" w:customStyle="1" w:styleId="ar1">
    <w:name w:val="ar1"/>
    <w:rsid w:val="00E71DC6"/>
    <w:rPr>
      <w:b/>
      <w:bCs/>
      <w:color w:val="0000AF"/>
      <w:sz w:val="22"/>
      <w:szCs w:val="22"/>
    </w:rPr>
  </w:style>
  <w:style w:type="character" w:customStyle="1" w:styleId="salnttl">
    <w:name w:val="s_aln_ttl"/>
    <w:rsid w:val="00E71DC6"/>
  </w:style>
  <w:style w:type="character" w:customStyle="1" w:styleId="salnbdy">
    <w:name w:val="s_aln_bdy"/>
    <w:rsid w:val="00E71DC6"/>
  </w:style>
  <w:style w:type="character" w:customStyle="1" w:styleId="tpa1">
    <w:name w:val="tpa1"/>
    <w:qFormat/>
    <w:rsid w:val="00E71DC6"/>
  </w:style>
  <w:style w:type="character" w:customStyle="1" w:styleId="tal1">
    <w:name w:val="tal1"/>
    <w:basedOn w:val="Fontdeparagrafimplicit"/>
    <w:rsid w:val="00D6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F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D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D5631"/>
  </w:style>
  <w:style w:type="paragraph" w:styleId="Subsol">
    <w:name w:val="footer"/>
    <w:basedOn w:val="Normal"/>
    <w:link w:val="SubsolCaracter"/>
    <w:uiPriority w:val="99"/>
    <w:unhideWhenUsed/>
    <w:rsid w:val="003D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5631"/>
  </w:style>
  <w:style w:type="paragraph" w:styleId="Frspaiere">
    <w:name w:val="No Spacing"/>
    <w:basedOn w:val="Normal"/>
    <w:qFormat/>
    <w:rsid w:val="00E71DC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Listparagraf">
    <w:name w:val="List Paragraph"/>
    <w:basedOn w:val="Normal"/>
    <w:uiPriority w:val="34"/>
    <w:qFormat/>
    <w:rsid w:val="00E71DC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character" w:customStyle="1" w:styleId="ar1">
    <w:name w:val="ar1"/>
    <w:rsid w:val="00E71DC6"/>
    <w:rPr>
      <w:b/>
      <w:bCs/>
      <w:color w:val="0000AF"/>
      <w:sz w:val="22"/>
      <w:szCs w:val="22"/>
    </w:rPr>
  </w:style>
  <w:style w:type="character" w:customStyle="1" w:styleId="salnttl">
    <w:name w:val="s_aln_ttl"/>
    <w:rsid w:val="00E71DC6"/>
  </w:style>
  <w:style w:type="character" w:customStyle="1" w:styleId="salnbdy">
    <w:name w:val="s_aln_bdy"/>
    <w:rsid w:val="00E71DC6"/>
  </w:style>
  <w:style w:type="character" w:customStyle="1" w:styleId="tpa1">
    <w:name w:val="tpa1"/>
    <w:qFormat/>
    <w:rsid w:val="00E71DC6"/>
  </w:style>
  <w:style w:type="character" w:customStyle="1" w:styleId="tal1">
    <w:name w:val="tal1"/>
    <w:basedOn w:val="Fontdeparagrafimplicit"/>
    <w:rsid w:val="00D6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A219-D884-4976-9ABF-133A3874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Attila</dc:creator>
  <cp:lastModifiedBy>Lazar Agnes</cp:lastModifiedBy>
  <cp:revision>5</cp:revision>
  <cp:lastPrinted>2024-01-25T11:37:00Z</cp:lastPrinted>
  <dcterms:created xsi:type="dcterms:W3CDTF">2024-01-25T11:25:00Z</dcterms:created>
  <dcterms:modified xsi:type="dcterms:W3CDTF">2024-01-25T11:37:00Z</dcterms:modified>
</cp:coreProperties>
</file>