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BF4DD" w14:textId="77777777" w:rsidR="00185947" w:rsidRDefault="00185947" w:rsidP="005C60F9">
      <w:pPr>
        <w:spacing w:after="0" w:line="240" w:lineRule="auto"/>
        <w:jc w:val="both"/>
        <w:rPr>
          <w:sz w:val="26"/>
          <w:szCs w:val="26"/>
          <w:lang w:val="ro-RO"/>
        </w:rPr>
      </w:pPr>
    </w:p>
    <w:tbl>
      <w:tblPr>
        <w:tblStyle w:val="TableGrid"/>
        <w:tblW w:w="4968" w:type="pct"/>
        <w:tblInd w:w="-27" w:type="dxa"/>
        <w:tblCellMar>
          <w:left w:w="115" w:type="dxa"/>
          <w:right w:w="115" w:type="dxa"/>
        </w:tblCellMar>
        <w:tblLook w:val="04A0" w:firstRow="1" w:lastRow="0" w:firstColumn="1" w:lastColumn="0" w:noHBand="0" w:noVBand="1"/>
      </w:tblPr>
      <w:tblGrid>
        <w:gridCol w:w="10206"/>
      </w:tblGrid>
      <w:tr w:rsidR="00185947" w:rsidRPr="00D4389B" w14:paraId="547CF654" w14:textId="77777777" w:rsidTr="00185947">
        <w:tc>
          <w:tcPr>
            <w:tcW w:w="5000" w:type="pct"/>
            <w:shd w:val="clear" w:color="auto" w:fill="E5B8B7" w:themeFill="accent2" w:themeFillTint="66"/>
          </w:tcPr>
          <w:p w14:paraId="5418BFA5" w14:textId="13A3A1CC" w:rsidR="00185947" w:rsidRPr="00FE0CEE" w:rsidRDefault="00185947" w:rsidP="005C60F9">
            <w:pPr>
              <w:spacing w:after="0"/>
              <w:jc w:val="center"/>
              <w:rPr>
                <w:rFonts w:ascii="Trebuchet MS" w:eastAsiaTheme="minorEastAsia" w:hAnsi="Trebuchet MS" w:cs="Times New Roman"/>
                <w:b/>
                <w:lang w:eastAsia="ro-RO"/>
              </w:rPr>
            </w:pPr>
            <w:r w:rsidRPr="00F11AD5">
              <w:rPr>
                <w:b/>
              </w:rPr>
              <w:t xml:space="preserve">Modificări legislative propuse </w:t>
            </w:r>
            <w:r w:rsidR="00361270" w:rsidRPr="00361270">
              <w:rPr>
                <w:rFonts w:cstheme="minorHAnsi"/>
                <w:bCs/>
                <w:i/>
                <w:iCs/>
              </w:rPr>
              <w:t>OUG pentru aprobarea unor măsuri de reducere a cheltuielilor bugetare pe anul 2023 în vederea încadrării în ținta de deficit bugetar asumată prin Programul de Convergență și pentru modificarea unor acte normative</w:t>
            </w:r>
          </w:p>
        </w:tc>
      </w:tr>
    </w:tbl>
    <w:tbl>
      <w:tblPr>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261"/>
        <w:gridCol w:w="3487"/>
      </w:tblGrid>
      <w:tr w:rsidR="00395E50" w:rsidRPr="008C03CE" w14:paraId="78995699" w14:textId="77777777" w:rsidTr="005C60F9">
        <w:trPr>
          <w:trHeight w:val="664"/>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72ED1400" w14:textId="5C178674" w:rsidR="00395E50" w:rsidRPr="00395E50" w:rsidRDefault="00395E50" w:rsidP="005C60F9">
            <w:pPr>
              <w:spacing w:after="0" w:line="240" w:lineRule="auto"/>
              <w:jc w:val="both"/>
              <w:rPr>
                <w:b/>
                <w:sz w:val="26"/>
                <w:szCs w:val="26"/>
                <w:lang w:val="ro-RO"/>
              </w:rPr>
            </w:pPr>
            <w:r w:rsidRPr="00395E50">
              <w:rPr>
                <w:b/>
                <w:sz w:val="26"/>
                <w:szCs w:val="26"/>
                <w:lang w:val="ro-RO"/>
              </w:rPr>
              <w:t>Text inițial</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C2540C2" w14:textId="1AD71705" w:rsidR="00395E50" w:rsidRPr="004C2975" w:rsidRDefault="00395E50" w:rsidP="005C60F9">
            <w:pPr>
              <w:spacing w:after="0" w:line="240" w:lineRule="auto"/>
              <w:ind w:firstLine="34"/>
              <w:jc w:val="both"/>
              <w:rPr>
                <w:b/>
                <w:sz w:val="26"/>
                <w:szCs w:val="26"/>
                <w:lang w:val="ro-RO" w:eastAsia="hu-HU"/>
              </w:rPr>
            </w:pPr>
            <w:r>
              <w:rPr>
                <w:b/>
                <w:sz w:val="26"/>
                <w:szCs w:val="26"/>
                <w:lang w:val="ro-RO" w:eastAsia="hu-HU"/>
              </w:rPr>
              <w:t>Propunere amendament</w:t>
            </w:r>
          </w:p>
        </w:tc>
        <w:tc>
          <w:tcPr>
            <w:tcW w:w="3487" w:type="dxa"/>
            <w:tcBorders>
              <w:top w:val="single" w:sz="4" w:space="0" w:color="auto"/>
              <w:left w:val="single" w:sz="4" w:space="0" w:color="auto"/>
              <w:bottom w:val="single" w:sz="4" w:space="0" w:color="auto"/>
              <w:right w:val="single" w:sz="4" w:space="0" w:color="auto"/>
            </w:tcBorders>
            <w:shd w:val="clear" w:color="auto" w:fill="auto"/>
          </w:tcPr>
          <w:p w14:paraId="0C321697" w14:textId="76402EA9" w:rsidR="00395E50" w:rsidRDefault="00395E50" w:rsidP="005C60F9">
            <w:pPr>
              <w:autoSpaceDE w:val="0"/>
              <w:autoSpaceDN w:val="0"/>
              <w:adjustRightInd w:val="0"/>
              <w:spacing w:after="0" w:line="240" w:lineRule="auto"/>
              <w:rPr>
                <w:b/>
                <w:sz w:val="26"/>
                <w:szCs w:val="26"/>
                <w:lang w:val="ro-RO"/>
              </w:rPr>
            </w:pPr>
            <w:r>
              <w:rPr>
                <w:b/>
                <w:sz w:val="26"/>
                <w:szCs w:val="26"/>
                <w:lang w:val="ro-RO"/>
              </w:rPr>
              <w:t>Justificare</w:t>
            </w:r>
          </w:p>
        </w:tc>
      </w:tr>
      <w:tr w:rsidR="00185947" w:rsidRPr="008C03CE" w14:paraId="30812016" w14:textId="77777777" w:rsidTr="005C60F9">
        <w:trPr>
          <w:trHeight w:val="145"/>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68BC5423" w14:textId="3D96E478" w:rsidR="00361270" w:rsidRDefault="00361270" w:rsidP="00361270">
            <w:pPr>
              <w:spacing w:after="0" w:line="240" w:lineRule="auto"/>
              <w:jc w:val="both"/>
              <w:rPr>
                <w:sz w:val="26"/>
                <w:szCs w:val="26"/>
                <w:lang w:val="ro-RO"/>
              </w:rPr>
            </w:pPr>
            <w:r w:rsidRPr="00361270">
              <w:rPr>
                <w:sz w:val="26"/>
                <w:szCs w:val="26"/>
                <w:lang w:val="ro-RO"/>
              </w:rPr>
              <w:t>Art. I</w:t>
            </w:r>
            <w:r>
              <w:rPr>
                <w:sz w:val="26"/>
                <w:szCs w:val="26"/>
                <w:lang w:val="ro-RO"/>
              </w:rPr>
              <w:t xml:space="preserve"> – (1) În anul 2023, începând cu data intrării în vigoare a prezentei ordonanțe de urgență, ordonatorii de credite ai autorităților și instituțiilor publice astfel cum sunt definite la art. 2 alin (1) din Legea nr. 500/2002 privind finanțele publice, cu modificările și completărilor ulterioare, și la art. 2 alin. (1) pct. 39 din Legea nr. 273/2006 privind finanțele publice locale, cu modificările și completările ulterioare, nu pot încheia angajamente legale pentru categoriile de cheltuieli prevăzute la următoarele articole de cheltuieli bugetare:</w:t>
            </w:r>
          </w:p>
          <w:p w14:paraId="54C8FCCB" w14:textId="77777777" w:rsidR="00361270" w:rsidRDefault="00361270" w:rsidP="00361270">
            <w:pPr>
              <w:spacing w:after="0" w:line="240" w:lineRule="auto"/>
              <w:jc w:val="both"/>
              <w:rPr>
                <w:sz w:val="26"/>
                <w:szCs w:val="26"/>
              </w:rPr>
            </w:pPr>
            <w:r>
              <w:rPr>
                <w:sz w:val="26"/>
                <w:szCs w:val="26"/>
                <w:lang w:val="ro-RO"/>
              </w:rPr>
              <w:t>a) ”Bunuri și servicii” pentru alineatele ”Furnituri de birou” și ”Alte bunuri și servicii pentru întreținere și funcționare”</w:t>
            </w:r>
            <w:r>
              <w:rPr>
                <w:sz w:val="26"/>
                <w:szCs w:val="26"/>
              </w:rPr>
              <w:t>;</w:t>
            </w:r>
          </w:p>
          <w:p w14:paraId="41373CA2" w14:textId="77777777" w:rsidR="0041476C" w:rsidRPr="0041476C" w:rsidRDefault="00361270" w:rsidP="00361270">
            <w:pPr>
              <w:spacing w:after="0" w:line="240" w:lineRule="auto"/>
              <w:jc w:val="both"/>
              <w:rPr>
                <w:sz w:val="26"/>
                <w:szCs w:val="26"/>
                <w:lang w:val="ro-RO"/>
              </w:rPr>
            </w:pPr>
            <w:r w:rsidRPr="0041476C">
              <w:rPr>
                <w:sz w:val="26"/>
                <w:szCs w:val="26"/>
                <w:lang w:val="ro-RO"/>
              </w:rPr>
              <w:t>b) Reparații curente</w:t>
            </w:r>
            <w:r w:rsidR="0041476C" w:rsidRPr="0041476C">
              <w:rPr>
                <w:sz w:val="26"/>
                <w:szCs w:val="26"/>
                <w:lang w:val="ro-RO"/>
              </w:rPr>
              <w:t>;</w:t>
            </w:r>
          </w:p>
          <w:p w14:paraId="625F2488" w14:textId="3D59DCBA" w:rsidR="0041476C" w:rsidRPr="0041476C" w:rsidRDefault="0041476C" w:rsidP="00361270">
            <w:pPr>
              <w:spacing w:after="0" w:line="240" w:lineRule="auto"/>
              <w:jc w:val="both"/>
              <w:rPr>
                <w:sz w:val="26"/>
                <w:szCs w:val="26"/>
                <w:lang w:val="ro-RO"/>
              </w:rPr>
            </w:pPr>
            <w:r w:rsidRPr="0041476C">
              <w:rPr>
                <w:sz w:val="26"/>
                <w:szCs w:val="26"/>
                <w:lang w:val="ro-RO"/>
              </w:rPr>
              <w:t>c) Bunuri de natura obiectelor de inventar</w:t>
            </w:r>
            <w:r w:rsidRPr="0041476C">
              <w:rPr>
                <w:sz w:val="26"/>
                <w:szCs w:val="26"/>
                <w:lang w:val="ro-RO"/>
              </w:rPr>
              <w:t>;</w:t>
            </w:r>
          </w:p>
          <w:p w14:paraId="2DA52390" w14:textId="77777777" w:rsidR="0041476C" w:rsidRDefault="0041476C" w:rsidP="00361270">
            <w:pPr>
              <w:spacing w:after="0" w:line="240" w:lineRule="auto"/>
              <w:jc w:val="both"/>
              <w:rPr>
                <w:sz w:val="26"/>
                <w:szCs w:val="26"/>
              </w:rPr>
            </w:pPr>
            <w:r>
              <w:rPr>
                <w:sz w:val="26"/>
                <w:szCs w:val="26"/>
                <w:lang w:val="ro-RO"/>
              </w:rPr>
              <w:t>d) Cărți, publicații și materiale documentare</w:t>
            </w:r>
            <w:r>
              <w:rPr>
                <w:sz w:val="26"/>
                <w:szCs w:val="26"/>
              </w:rPr>
              <w:t>;</w:t>
            </w:r>
          </w:p>
          <w:p w14:paraId="71D01DF1" w14:textId="77777777" w:rsidR="0041476C" w:rsidRPr="0041476C" w:rsidRDefault="0041476C" w:rsidP="00361270">
            <w:pPr>
              <w:spacing w:after="0" w:line="240" w:lineRule="auto"/>
              <w:jc w:val="both"/>
              <w:rPr>
                <w:sz w:val="26"/>
                <w:szCs w:val="26"/>
                <w:lang w:val="ro-RO"/>
              </w:rPr>
            </w:pPr>
            <w:r w:rsidRPr="0041476C">
              <w:rPr>
                <w:sz w:val="26"/>
                <w:szCs w:val="26"/>
                <w:lang w:val="ro-RO"/>
              </w:rPr>
              <w:t>e) Consultanță și expertiză</w:t>
            </w:r>
            <w:r w:rsidRPr="0041476C">
              <w:rPr>
                <w:sz w:val="26"/>
                <w:szCs w:val="26"/>
                <w:lang w:val="ro-RO"/>
              </w:rPr>
              <w:t>;</w:t>
            </w:r>
          </w:p>
          <w:p w14:paraId="61CB914F" w14:textId="77777777" w:rsidR="0041476C" w:rsidRPr="0041476C" w:rsidRDefault="0041476C" w:rsidP="00361270">
            <w:pPr>
              <w:spacing w:after="0" w:line="240" w:lineRule="auto"/>
              <w:jc w:val="both"/>
              <w:rPr>
                <w:sz w:val="26"/>
                <w:szCs w:val="26"/>
                <w:lang w:val="ro-RO"/>
              </w:rPr>
            </w:pPr>
            <w:r w:rsidRPr="0041476C">
              <w:rPr>
                <w:sz w:val="26"/>
                <w:szCs w:val="26"/>
                <w:lang w:val="ro-RO"/>
              </w:rPr>
              <w:t>f) Pregătire profesională</w:t>
            </w:r>
            <w:r w:rsidRPr="0041476C">
              <w:rPr>
                <w:sz w:val="26"/>
                <w:szCs w:val="26"/>
                <w:lang w:val="ro-RO"/>
              </w:rPr>
              <w:t>;</w:t>
            </w:r>
          </w:p>
          <w:p w14:paraId="0AD332B0" w14:textId="77777777" w:rsidR="0041476C" w:rsidRPr="0041476C" w:rsidRDefault="0041476C" w:rsidP="00361270">
            <w:pPr>
              <w:spacing w:after="0" w:line="240" w:lineRule="auto"/>
              <w:jc w:val="both"/>
              <w:rPr>
                <w:sz w:val="26"/>
                <w:szCs w:val="26"/>
                <w:lang w:val="ro-RO"/>
              </w:rPr>
            </w:pPr>
            <w:r w:rsidRPr="0041476C">
              <w:rPr>
                <w:sz w:val="26"/>
                <w:szCs w:val="26"/>
                <w:lang w:val="ro-RO"/>
              </w:rPr>
              <w:t>g) Studii și cercetări</w:t>
            </w:r>
            <w:r w:rsidRPr="0041476C">
              <w:rPr>
                <w:sz w:val="26"/>
                <w:szCs w:val="26"/>
                <w:lang w:val="ro-RO"/>
              </w:rPr>
              <w:t>;</w:t>
            </w:r>
          </w:p>
          <w:p w14:paraId="47440CEA" w14:textId="77777777" w:rsidR="0041476C" w:rsidRDefault="0041476C" w:rsidP="00361270">
            <w:pPr>
              <w:spacing w:after="0" w:line="240" w:lineRule="auto"/>
              <w:jc w:val="both"/>
              <w:rPr>
                <w:sz w:val="26"/>
                <w:szCs w:val="26"/>
                <w:lang w:val="ro-RO"/>
              </w:rPr>
            </w:pPr>
            <w:r w:rsidRPr="0041476C">
              <w:rPr>
                <w:sz w:val="26"/>
                <w:szCs w:val="26"/>
                <w:lang w:val="ro-RO"/>
              </w:rPr>
              <w:lastRenderedPageBreak/>
              <w:t>h) Contribuții ale administrației publice locale la realizarea unor lucrări și servicii de interes public local, în baza unor convenții sau contracte de asociere</w:t>
            </w:r>
            <w:r w:rsidRPr="0041476C">
              <w:rPr>
                <w:sz w:val="26"/>
                <w:szCs w:val="26"/>
                <w:lang w:val="ro-RO"/>
              </w:rPr>
              <w:t>;</w:t>
            </w:r>
          </w:p>
          <w:p w14:paraId="6A3988B6" w14:textId="77777777" w:rsidR="0041476C" w:rsidRDefault="0041476C" w:rsidP="00361270">
            <w:pPr>
              <w:spacing w:after="0" w:line="240" w:lineRule="auto"/>
              <w:jc w:val="both"/>
              <w:rPr>
                <w:sz w:val="26"/>
                <w:szCs w:val="26"/>
              </w:rPr>
            </w:pPr>
            <w:r>
              <w:rPr>
                <w:sz w:val="26"/>
                <w:szCs w:val="26"/>
                <w:lang w:val="ro-RO"/>
              </w:rPr>
              <w:t>i) Alte cheltuieli, cu excepția alineatelor chirii” și ”Executare silită a creanțelor bugetare”</w:t>
            </w:r>
            <w:r>
              <w:rPr>
                <w:sz w:val="26"/>
                <w:szCs w:val="26"/>
              </w:rPr>
              <w:t xml:space="preserve"> </w:t>
            </w:r>
            <w:r>
              <w:rPr>
                <w:sz w:val="26"/>
                <w:szCs w:val="26"/>
              </w:rPr>
              <w:t>;</w:t>
            </w:r>
          </w:p>
          <w:p w14:paraId="3DC022D3" w14:textId="2B263BF6" w:rsidR="0041476C" w:rsidRPr="0041476C" w:rsidRDefault="0041476C" w:rsidP="00361270">
            <w:pPr>
              <w:spacing w:after="0" w:line="240" w:lineRule="auto"/>
              <w:jc w:val="both"/>
              <w:rPr>
                <w:sz w:val="26"/>
                <w:szCs w:val="26"/>
                <w:lang w:val="ro-RO"/>
              </w:rPr>
            </w:pPr>
            <w:r>
              <w:rPr>
                <w:sz w:val="26"/>
                <w:szCs w:val="26"/>
              </w:rPr>
              <w:t xml:space="preserve">j) </w:t>
            </w:r>
            <w:r w:rsidRPr="0041476C">
              <w:rPr>
                <w:sz w:val="26"/>
                <w:szCs w:val="26"/>
                <w:lang w:val="ro-RO"/>
              </w:rPr>
              <w:t>Asociații și fundații, cu excepția angajamentelor ce vizează domeniile ”Sănătate” și ”Asistență socială”</w:t>
            </w:r>
            <w:r w:rsidRPr="0041476C">
              <w:rPr>
                <w:sz w:val="26"/>
                <w:szCs w:val="26"/>
                <w:lang w:val="ro-RO"/>
              </w:rPr>
              <w:t>;</w:t>
            </w:r>
          </w:p>
          <w:p w14:paraId="5FA3A3B3" w14:textId="77777777" w:rsidR="00076CD5" w:rsidRDefault="00076CD5" w:rsidP="00361270">
            <w:pPr>
              <w:spacing w:after="0" w:line="240" w:lineRule="auto"/>
              <w:jc w:val="both"/>
              <w:rPr>
                <w:sz w:val="26"/>
                <w:szCs w:val="26"/>
                <w:lang w:val="ro-RO"/>
              </w:rPr>
            </w:pPr>
          </w:p>
          <w:p w14:paraId="23CBFB65" w14:textId="77777777" w:rsidR="00076CD5" w:rsidRDefault="00076CD5" w:rsidP="00361270">
            <w:pPr>
              <w:spacing w:after="0" w:line="240" w:lineRule="auto"/>
              <w:jc w:val="both"/>
              <w:rPr>
                <w:sz w:val="26"/>
                <w:szCs w:val="26"/>
                <w:lang w:val="ro-RO"/>
              </w:rPr>
            </w:pPr>
          </w:p>
          <w:p w14:paraId="637824B6" w14:textId="77777777" w:rsidR="00076CD5" w:rsidRDefault="00076CD5" w:rsidP="00361270">
            <w:pPr>
              <w:spacing w:after="0" w:line="240" w:lineRule="auto"/>
              <w:jc w:val="both"/>
              <w:rPr>
                <w:sz w:val="26"/>
                <w:szCs w:val="26"/>
                <w:lang w:val="ro-RO"/>
              </w:rPr>
            </w:pPr>
          </w:p>
          <w:p w14:paraId="13253DDA" w14:textId="77777777" w:rsidR="00076CD5" w:rsidRDefault="00076CD5" w:rsidP="00361270">
            <w:pPr>
              <w:spacing w:after="0" w:line="240" w:lineRule="auto"/>
              <w:jc w:val="both"/>
              <w:rPr>
                <w:sz w:val="26"/>
                <w:szCs w:val="26"/>
                <w:lang w:val="ro-RO"/>
              </w:rPr>
            </w:pPr>
          </w:p>
          <w:p w14:paraId="16C27E9C" w14:textId="77777777" w:rsidR="00076CD5" w:rsidRDefault="00076CD5" w:rsidP="00361270">
            <w:pPr>
              <w:spacing w:after="0" w:line="240" w:lineRule="auto"/>
              <w:jc w:val="both"/>
              <w:rPr>
                <w:sz w:val="26"/>
                <w:szCs w:val="26"/>
                <w:lang w:val="ro-RO"/>
              </w:rPr>
            </w:pPr>
          </w:p>
          <w:p w14:paraId="3E7FD2CE" w14:textId="77777777" w:rsidR="00076CD5" w:rsidRDefault="00076CD5" w:rsidP="00361270">
            <w:pPr>
              <w:spacing w:after="0" w:line="240" w:lineRule="auto"/>
              <w:jc w:val="both"/>
              <w:rPr>
                <w:sz w:val="26"/>
                <w:szCs w:val="26"/>
                <w:lang w:val="ro-RO"/>
              </w:rPr>
            </w:pPr>
          </w:p>
          <w:p w14:paraId="48C70226" w14:textId="77777777" w:rsidR="00076CD5" w:rsidRDefault="00076CD5" w:rsidP="00361270">
            <w:pPr>
              <w:spacing w:after="0" w:line="240" w:lineRule="auto"/>
              <w:jc w:val="both"/>
              <w:rPr>
                <w:sz w:val="26"/>
                <w:szCs w:val="26"/>
                <w:lang w:val="ro-RO"/>
              </w:rPr>
            </w:pPr>
          </w:p>
          <w:p w14:paraId="332B21F3" w14:textId="77777777" w:rsidR="001C23E5" w:rsidRDefault="001C23E5" w:rsidP="00361270">
            <w:pPr>
              <w:spacing w:after="0" w:line="240" w:lineRule="auto"/>
              <w:jc w:val="both"/>
              <w:rPr>
                <w:sz w:val="26"/>
                <w:szCs w:val="26"/>
                <w:lang w:val="ro-RO"/>
              </w:rPr>
            </w:pPr>
          </w:p>
          <w:p w14:paraId="556473A4" w14:textId="5ECC2FD4" w:rsidR="005C60F9" w:rsidRPr="00361270" w:rsidRDefault="001C23E5" w:rsidP="001C23E5">
            <w:pPr>
              <w:spacing w:after="0" w:line="240" w:lineRule="auto"/>
              <w:jc w:val="both"/>
              <w:rPr>
                <w:sz w:val="26"/>
                <w:szCs w:val="26"/>
                <w:lang w:val="ro-RO"/>
              </w:rPr>
            </w:pPr>
            <w:r>
              <w:rPr>
                <w:sz w:val="26"/>
                <w:szCs w:val="26"/>
                <w:lang w:val="ro-RO"/>
              </w:rPr>
              <w:t xml:space="preserve">(2) Conducătorii autorităților și instituțiilor publice, prevăzute la alin (1) au obligația de a dispune măsurile necesare astfel încât plățile lunare efectuate în perioada noiembrie-decembrie 2023 la titlul de cheltuieli bugetare ”Bunuri și servicii”, să fie cel mult la nivelul mediei plăților efectuate în perioada ianuarie-septembrie 2023, în limita bugetului aprobat la acest titlu de cheltuieli. </w:t>
            </w:r>
            <w:r w:rsidR="00361270">
              <w:rPr>
                <w:sz w:val="26"/>
                <w:szCs w:val="26"/>
                <w:lang w:val="ro-RO"/>
              </w:rPr>
              <w:t xml:space="preserve">   </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6B806EB" w14:textId="77777777" w:rsidR="0041476C" w:rsidRPr="0041476C" w:rsidRDefault="0041476C" w:rsidP="0041476C">
            <w:pPr>
              <w:spacing w:after="0" w:line="240" w:lineRule="auto"/>
              <w:jc w:val="both"/>
              <w:rPr>
                <w:i/>
                <w:sz w:val="26"/>
                <w:szCs w:val="26"/>
                <w:lang w:val="ro-RO"/>
              </w:rPr>
            </w:pPr>
            <w:r w:rsidRPr="0041476C">
              <w:rPr>
                <w:i/>
                <w:sz w:val="26"/>
                <w:szCs w:val="26"/>
                <w:lang w:val="ro-RO"/>
              </w:rPr>
              <w:lastRenderedPageBreak/>
              <w:t>Art. I – (1) În anul 2023, începând cu data intrării în vigoare a prezentei ordonanțe de urgență, ordonatorii de credite ai autorităților și instituțiilor publice astfel cum sunt definite la art. 2 alin (1) din Legea nr. 500/2002 privind finanțele publice, cu modificările și completărilor ulterioare, și la art. 2 alin. (1) pct. 39 din Legea nr. 273/2006 privind finanțele publice locale, cu modificările și completările ulterioare, nu pot încheia angajamente legale pentru categoriile de cheltuieli prevăzute la următoarele articole de cheltuieli bugetare:</w:t>
            </w:r>
          </w:p>
          <w:p w14:paraId="5CEE20F0" w14:textId="77777777" w:rsidR="0041476C" w:rsidRPr="0041476C" w:rsidRDefault="0041476C" w:rsidP="0041476C">
            <w:pPr>
              <w:spacing w:after="0" w:line="240" w:lineRule="auto"/>
              <w:jc w:val="both"/>
              <w:rPr>
                <w:i/>
                <w:sz w:val="26"/>
                <w:szCs w:val="26"/>
              </w:rPr>
            </w:pPr>
            <w:r w:rsidRPr="0041476C">
              <w:rPr>
                <w:i/>
                <w:sz w:val="26"/>
                <w:szCs w:val="26"/>
                <w:lang w:val="ro-RO"/>
              </w:rPr>
              <w:t>a) ”Bunuri și servicii” pentru alineatele ”Furnituri de birou” și ”Alte bunuri și servicii pentru întreținere și funcționare”</w:t>
            </w:r>
            <w:r w:rsidRPr="0041476C">
              <w:rPr>
                <w:i/>
                <w:sz w:val="26"/>
                <w:szCs w:val="26"/>
              </w:rPr>
              <w:t>;</w:t>
            </w:r>
          </w:p>
          <w:p w14:paraId="3672808A" w14:textId="77777777" w:rsidR="0041476C" w:rsidRPr="0041476C" w:rsidRDefault="0041476C" w:rsidP="0041476C">
            <w:pPr>
              <w:spacing w:after="0" w:line="240" w:lineRule="auto"/>
              <w:jc w:val="both"/>
              <w:rPr>
                <w:i/>
                <w:strike/>
                <w:color w:val="FF0000"/>
                <w:sz w:val="26"/>
                <w:szCs w:val="26"/>
                <w:lang w:val="ro-RO"/>
              </w:rPr>
            </w:pPr>
            <w:r w:rsidRPr="0041476C">
              <w:rPr>
                <w:i/>
                <w:strike/>
                <w:color w:val="FF0000"/>
                <w:sz w:val="26"/>
                <w:szCs w:val="26"/>
                <w:lang w:val="ro-RO"/>
              </w:rPr>
              <w:t>b) Reparații curente;</w:t>
            </w:r>
          </w:p>
          <w:p w14:paraId="61B9F071" w14:textId="7D0F8EDA" w:rsidR="0041476C" w:rsidRPr="0041476C" w:rsidRDefault="0041476C" w:rsidP="0041476C">
            <w:pPr>
              <w:spacing w:after="0" w:line="240" w:lineRule="auto"/>
              <w:jc w:val="both"/>
              <w:rPr>
                <w:i/>
                <w:sz w:val="26"/>
                <w:szCs w:val="26"/>
                <w:lang w:val="ro-RO"/>
              </w:rPr>
            </w:pPr>
            <w:r>
              <w:rPr>
                <w:i/>
                <w:sz w:val="26"/>
                <w:szCs w:val="26"/>
                <w:lang w:val="ro-RO"/>
              </w:rPr>
              <w:t>b</w:t>
            </w:r>
            <w:r w:rsidRPr="0041476C">
              <w:rPr>
                <w:i/>
                <w:sz w:val="26"/>
                <w:szCs w:val="26"/>
                <w:lang w:val="ro-RO"/>
              </w:rPr>
              <w:t>) Bunuri de natura obiectelor de inventar;</w:t>
            </w:r>
          </w:p>
          <w:p w14:paraId="354A15BD" w14:textId="62B425B2" w:rsidR="0041476C" w:rsidRPr="0041476C" w:rsidRDefault="0041476C" w:rsidP="0041476C">
            <w:pPr>
              <w:spacing w:after="0" w:line="240" w:lineRule="auto"/>
              <w:jc w:val="both"/>
              <w:rPr>
                <w:i/>
                <w:sz w:val="26"/>
                <w:szCs w:val="26"/>
              </w:rPr>
            </w:pPr>
            <w:r>
              <w:rPr>
                <w:i/>
                <w:sz w:val="26"/>
                <w:szCs w:val="26"/>
                <w:lang w:val="ro-RO"/>
              </w:rPr>
              <w:t>c</w:t>
            </w:r>
            <w:r w:rsidRPr="0041476C">
              <w:rPr>
                <w:i/>
                <w:sz w:val="26"/>
                <w:szCs w:val="26"/>
                <w:lang w:val="ro-RO"/>
              </w:rPr>
              <w:t xml:space="preserve">) Cărți, publicații și </w:t>
            </w:r>
            <w:r w:rsidRPr="0041476C">
              <w:rPr>
                <w:i/>
                <w:sz w:val="26"/>
                <w:szCs w:val="26"/>
                <w:lang w:val="ro-RO"/>
              </w:rPr>
              <w:lastRenderedPageBreak/>
              <w:t>materiale documentare</w:t>
            </w:r>
            <w:r w:rsidRPr="0041476C">
              <w:rPr>
                <w:i/>
                <w:sz w:val="26"/>
                <w:szCs w:val="26"/>
              </w:rPr>
              <w:t>;</w:t>
            </w:r>
          </w:p>
          <w:p w14:paraId="7630C2B5" w14:textId="70E278DE" w:rsidR="0041476C" w:rsidRPr="0041476C" w:rsidRDefault="0041476C" w:rsidP="0041476C">
            <w:pPr>
              <w:spacing w:after="0" w:line="240" w:lineRule="auto"/>
              <w:jc w:val="both"/>
              <w:rPr>
                <w:i/>
                <w:sz w:val="26"/>
                <w:szCs w:val="26"/>
                <w:lang w:val="ro-RO"/>
              </w:rPr>
            </w:pPr>
            <w:r>
              <w:rPr>
                <w:i/>
                <w:sz w:val="26"/>
                <w:szCs w:val="26"/>
                <w:lang w:val="ro-RO"/>
              </w:rPr>
              <w:t>d</w:t>
            </w:r>
            <w:r w:rsidRPr="0041476C">
              <w:rPr>
                <w:i/>
                <w:sz w:val="26"/>
                <w:szCs w:val="26"/>
                <w:lang w:val="ro-RO"/>
              </w:rPr>
              <w:t>) Consultanță și expertiză;</w:t>
            </w:r>
          </w:p>
          <w:p w14:paraId="47AA8BCB" w14:textId="3448D6B5" w:rsidR="0041476C" w:rsidRPr="0041476C" w:rsidRDefault="0041476C" w:rsidP="0041476C">
            <w:pPr>
              <w:spacing w:after="0" w:line="240" w:lineRule="auto"/>
              <w:jc w:val="both"/>
              <w:rPr>
                <w:i/>
                <w:sz w:val="26"/>
                <w:szCs w:val="26"/>
                <w:lang w:val="ro-RO"/>
              </w:rPr>
            </w:pPr>
            <w:r>
              <w:rPr>
                <w:i/>
                <w:sz w:val="26"/>
                <w:szCs w:val="26"/>
                <w:lang w:val="ro-RO"/>
              </w:rPr>
              <w:t>e</w:t>
            </w:r>
            <w:r w:rsidRPr="0041476C">
              <w:rPr>
                <w:i/>
                <w:sz w:val="26"/>
                <w:szCs w:val="26"/>
                <w:lang w:val="ro-RO"/>
              </w:rPr>
              <w:t>) Pregătire profesională;</w:t>
            </w:r>
          </w:p>
          <w:p w14:paraId="74C1D644" w14:textId="61D35629" w:rsidR="0041476C" w:rsidRPr="0041476C" w:rsidRDefault="0041476C" w:rsidP="0041476C">
            <w:pPr>
              <w:spacing w:after="0" w:line="240" w:lineRule="auto"/>
              <w:jc w:val="both"/>
              <w:rPr>
                <w:i/>
                <w:sz w:val="26"/>
                <w:szCs w:val="26"/>
                <w:lang w:val="ro-RO"/>
              </w:rPr>
            </w:pPr>
            <w:r>
              <w:rPr>
                <w:i/>
                <w:sz w:val="26"/>
                <w:szCs w:val="26"/>
                <w:lang w:val="ro-RO"/>
              </w:rPr>
              <w:t>f</w:t>
            </w:r>
            <w:r w:rsidRPr="0041476C">
              <w:rPr>
                <w:i/>
                <w:sz w:val="26"/>
                <w:szCs w:val="26"/>
                <w:lang w:val="ro-RO"/>
              </w:rPr>
              <w:t>) Studii și cercetări;</w:t>
            </w:r>
          </w:p>
          <w:p w14:paraId="4B45E1A5" w14:textId="77777777" w:rsidR="0041476C" w:rsidRPr="0041476C" w:rsidRDefault="0041476C" w:rsidP="0041476C">
            <w:pPr>
              <w:spacing w:after="0" w:line="240" w:lineRule="auto"/>
              <w:jc w:val="both"/>
              <w:rPr>
                <w:i/>
                <w:strike/>
                <w:color w:val="FF0000"/>
                <w:sz w:val="26"/>
                <w:szCs w:val="26"/>
                <w:lang w:val="ro-RO"/>
              </w:rPr>
            </w:pPr>
            <w:r w:rsidRPr="0041476C">
              <w:rPr>
                <w:i/>
                <w:strike/>
                <w:color w:val="FF0000"/>
                <w:sz w:val="26"/>
                <w:szCs w:val="26"/>
                <w:lang w:val="ro-RO"/>
              </w:rPr>
              <w:t>h) Contribuții ale administrației publice locale la realizarea unor lucrări și servicii de interes public local, în baza unor convenții sau contracte de asociere;</w:t>
            </w:r>
          </w:p>
          <w:p w14:paraId="52EE42FE" w14:textId="77777777" w:rsidR="0041476C" w:rsidRPr="0041476C" w:rsidRDefault="0041476C" w:rsidP="0041476C">
            <w:pPr>
              <w:spacing w:after="0" w:line="240" w:lineRule="auto"/>
              <w:jc w:val="both"/>
              <w:rPr>
                <w:i/>
                <w:strike/>
                <w:color w:val="FF0000"/>
                <w:sz w:val="26"/>
                <w:szCs w:val="26"/>
              </w:rPr>
            </w:pPr>
            <w:r w:rsidRPr="0041476C">
              <w:rPr>
                <w:i/>
                <w:strike/>
                <w:color w:val="FF0000"/>
                <w:sz w:val="26"/>
                <w:szCs w:val="26"/>
                <w:lang w:val="ro-RO"/>
              </w:rPr>
              <w:t>i) Alte cheltuieli, cu excepția alineatelor chirii” și ”Executare silită a creanțelor bugetare”</w:t>
            </w:r>
            <w:r w:rsidRPr="0041476C">
              <w:rPr>
                <w:i/>
                <w:strike/>
                <w:color w:val="FF0000"/>
                <w:sz w:val="26"/>
                <w:szCs w:val="26"/>
              </w:rPr>
              <w:t xml:space="preserve"> ;</w:t>
            </w:r>
          </w:p>
          <w:p w14:paraId="198CF220" w14:textId="47B94F5B" w:rsidR="0041476C" w:rsidRPr="0041476C" w:rsidRDefault="0041476C" w:rsidP="0041476C">
            <w:pPr>
              <w:spacing w:after="0" w:line="240" w:lineRule="auto"/>
              <w:jc w:val="both"/>
              <w:rPr>
                <w:strike/>
                <w:color w:val="FF0000"/>
                <w:sz w:val="26"/>
                <w:szCs w:val="26"/>
                <w:lang w:val="ro-RO"/>
              </w:rPr>
            </w:pPr>
            <w:r w:rsidRPr="0041476C">
              <w:rPr>
                <w:i/>
                <w:strike/>
                <w:color w:val="FF0000"/>
                <w:sz w:val="26"/>
                <w:szCs w:val="26"/>
                <w:lang w:val="ro-RO"/>
              </w:rPr>
              <w:t>j) Asociații și fundații, cu excepția angajamentelor ce vizează domeniile ”Sănătate” și ”Asistență socială”;</w:t>
            </w:r>
          </w:p>
          <w:p w14:paraId="5A53B380" w14:textId="77777777" w:rsidR="005C60F9" w:rsidRDefault="005C60F9" w:rsidP="00DD6C48">
            <w:pPr>
              <w:spacing w:after="0" w:line="240" w:lineRule="auto"/>
              <w:ind w:firstLine="34"/>
              <w:jc w:val="both"/>
              <w:rPr>
                <w:b/>
                <w:sz w:val="26"/>
                <w:szCs w:val="26"/>
                <w:lang w:val="ro-RO" w:eastAsia="hu-HU"/>
              </w:rPr>
            </w:pPr>
          </w:p>
          <w:p w14:paraId="581A2D62" w14:textId="77777777" w:rsidR="001C23E5" w:rsidRDefault="001C23E5" w:rsidP="00DD6C48">
            <w:pPr>
              <w:spacing w:after="0" w:line="240" w:lineRule="auto"/>
              <w:ind w:firstLine="34"/>
              <w:jc w:val="both"/>
              <w:rPr>
                <w:b/>
                <w:sz w:val="26"/>
                <w:szCs w:val="26"/>
                <w:lang w:val="ro-RO" w:eastAsia="hu-HU"/>
              </w:rPr>
            </w:pPr>
          </w:p>
          <w:p w14:paraId="09B5437B" w14:textId="599DADCF" w:rsidR="001C23E5" w:rsidRPr="001C23E5" w:rsidRDefault="001C23E5" w:rsidP="00DD6C48">
            <w:pPr>
              <w:spacing w:after="0" w:line="240" w:lineRule="auto"/>
              <w:ind w:firstLine="34"/>
              <w:jc w:val="both"/>
              <w:rPr>
                <w:i/>
                <w:sz w:val="26"/>
                <w:szCs w:val="26"/>
                <w:lang w:val="ro-RO" w:eastAsia="hu-HU"/>
              </w:rPr>
            </w:pPr>
            <w:r w:rsidRPr="001C23E5">
              <w:rPr>
                <w:i/>
                <w:color w:val="FF0000"/>
                <w:sz w:val="26"/>
                <w:szCs w:val="26"/>
                <w:lang w:val="ro-RO" w:eastAsia="hu-HU"/>
              </w:rPr>
              <w:t>Eliminarea alin (2)</w:t>
            </w:r>
          </w:p>
        </w:tc>
        <w:tc>
          <w:tcPr>
            <w:tcW w:w="3487" w:type="dxa"/>
            <w:tcBorders>
              <w:top w:val="single" w:sz="4" w:space="0" w:color="auto"/>
              <w:left w:val="single" w:sz="4" w:space="0" w:color="auto"/>
              <w:bottom w:val="single" w:sz="4" w:space="0" w:color="auto"/>
              <w:right w:val="single" w:sz="4" w:space="0" w:color="auto"/>
            </w:tcBorders>
            <w:shd w:val="clear" w:color="auto" w:fill="auto"/>
          </w:tcPr>
          <w:p w14:paraId="752B17E4" w14:textId="77777777" w:rsidR="00076CD5" w:rsidRDefault="0041476C" w:rsidP="00076CD5">
            <w:pPr>
              <w:autoSpaceDE w:val="0"/>
              <w:autoSpaceDN w:val="0"/>
              <w:adjustRightInd w:val="0"/>
              <w:spacing w:after="0" w:line="240" w:lineRule="auto"/>
              <w:jc w:val="both"/>
              <w:rPr>
                <w:i/>
                <w:sz w:val="26"/>
                <w:szCs w:val="26"/>
                <w:lang w:val="ro-RO"/>
              </w:rPr>
            </w:pPr>
            <w:r w:rsidRPr="00076CD5">
              <w:rPr>
                <w:i/>
                <w:sz w:val="26"/>
                <w:szCs w:val="26"/>
                <w:lang w:val="ro-RO"/>
              </w:rPr>
              <w:lastRenderedPageBreak/>
              <w:t xml:space="preserve">Propunem eliminarea din alin (1) literelor </w:t>
            </w:r>
          </w:p>
          <w:p w14:paraId="1587D3C9" w14:textId="114076D3" w:rsidR="00076CD5" w:rsidRPr="00076CD5" w:rsidRDefault="0041476C" w:rsidP="00076CD5">
            <w:pPr>
              <w:autoSpaceDE w:val="0"/>
              <w:autoSpaceDN w:val="0"/>
              <w:adjustRightInd w:val="0"/>
              <w:spacing w:after="0" w:line="240" w:lineRule="auto"/>
              <w:jc w:val="both"/>
              <w:rPr>
                <w:i/>
                <w:sz w:val="26"/>
                <w:szCs w:val="26"/>
                <w:lang w:val="ro-RO"/>
              </w:rPr>
            </w:pPr>
            <w:r w:rsidRPr="00076CD5">
              <w:rPr>
                <w:i/>
                <w:sz w:val="26"/>
                <w:szCs w:val="26"/>
                <w:lang w:val="ro-RO"/>
              </w:rPr>
              <w:t>b) Cheltuieli curente,</w:t>
            </w:r>
          </w:p>
          <w:p w14:paraId="52FB0229" w14:textId="77777777" w:rsidR="00076CD5" w:rsidRPr="00076CD5" w:rsidRDefault="00076CD5" w:rsidP="00076CD5">
            <w:pPr>
              <w:autoSpaceDE w:val="0"/>
              <w:autoSpaceDN w:val="0"/>
              <w:adjustRightInd w:val="0"/>
              <w:spacing w:after="0" w:line="240" w:lineRule="auto"/>
              <w:jc w:val="both"/>
              <w:rPr>
                <w:i/>
                <w:sz w:val="26"/>
                <w:szCs w:val="26"/>
                <w:lang w:val="ro-RO"/>
              </w:rPr>
            </w:pPr>
            <w:r w:rsidRPr="00076CD5">
              <w:rPr>
                <w:i/>
                <w:sz w:val="26"/>
                <w:szCs w:val="26"/>
                <w:lang w:val="ro-RO"/>
              </w:rPr>
              <w:t xml:space="preserve">h) </w:t>
            </w:r>
            <w:r w:rsidRPr="00076CD5">
              <w:rPr>
                <w:i/>
                <w:sz w:val="26"/>
                <w:szCs w:val="26"/>
                <w:lang w:val="ro-RO"/>
              </w:rPr>
              <w:t>Contribuții ale administrației publice locale la realizarea unor lucrări și servicii de interes public local, în baza unor convenții sau contracte de asociere;</w:t>
            </w:r>
            <w:r w:rsidRPr="00076CD5">
              <w:rPr>
                <w:i/>
                <w:sz w:val="26"/>
                <w:szCs w:val="26"/>
                <w:lang w:val="ro-RO"/>
              </w:rPr>
              <w:t>,</w:t>
            </w:r>
          </w:p>
          <w:p w14:paraId="06E7CB32" w14:textId="77777777" w:rsidR="00076CD5" w:rsidRPr="00076CD5" w:rsidRDefault="00076CD5" w:rsidP="00076CD5">
            <w:pPr>
              <w:spacing w:after="0" w:line="240" w:lineRule="auto"/>
              <w:jc w:val="both"/>
              <w:rPr>
                <w:i/>
                <w:sz w:val="26"/>
                <w:szCs w:val="26"/>
                <w:lang w:val="ro-RO"/>
              </w:rPr>
            </w:pPr>
            <w:r w:rsidRPr="00076CD5">
              <w:rPr>
                <w:i/>
                <w:sz w:val="26"/>
                <w:szCs w:val="26"/>
                <w:lang w:val="ro-RO"/>
              </w:rPr>
              <w:t xml:space="preserve"> i) </w:t>
            </w:r>
            <w:r w:rsidRPr="00076CD5">
              <w:rPr>
                <w:i/>
                <w:sz w:val="26"/>
                <w:szCs w:val="26"/>
                <w:lang w:val="ro-RO"/>
              </w:rPr>
              <w:t>Alte cheltuieli, cu excepția alineatelor chirii” și ”Executare silită a creanțelor bugetare”</w:t>
            </w:r>
            <w:r w:rsidRPr="00076CD5">
              <w:rPr>
                <w:i/>
                <w:sz w:val="26"/>
                <w:szCs w:val="26"/>
              </w:rPr>
              <w:t xml:space="preserve"> ;</w:t>
            </w:r>
            <w:r w:rsidRPr="00076CD5">
              <w:rPr>
                <w:i/>
                <w:sz w:val="26"/>
                <w:szCs w:val="26"/>
                <w:lang w:val="ro-RO"/>
              </w:rPr>
              <w:t xml:space="preserve">, j) </w:t>
            </w:r>
            <w:r w:rsidRPr="00076CD5">
              <w:rPr>
                <w:i/>
                <w:sz w:val="26"/>
                <w:szCs w:val="26"/>
                <w:lang w:val="ro-RO"/>
              </w:rPr>
              <w:t>Asociații și fundații, cu excepția angajamentelor ce vizează domeniile ”Sănătate” și ”Asistență socială”;</w:t>
            </w:r>
          </w:p>
          <w:p w14:paraId="056B01A7" w14:textId="77777777" w:rsidR="00660ED6" w:rsidRDefault="00660ED6" w:rsidP="00076CD5">
            <w:pPr>
              <w:autoSpaceDE w:val="0"/>
              <w:autoSpaceDN w:val="0"/>
              <w:adjustRightInd w:val="0"/>
              <w:spacing w:after="0" w:line="240" w:lineRule="auto"/>
              <w:jc w:val="both"/>
              <w:rPr>
                <w:i/>
                <w:sz w:val="26"/>
                <w:szCs w:val="26"/>
                <w:lang w:val="ro-RO"/>
              </w:rPr>
            </w:pPr>
          </w:p>
          <w:p w14:paraId="016E1349" w14:textId="77777777" w:rsidR="00076CD5" w:rsidRDefault="00076CD5" w:rsidP="00076CD5">
            <w:pPr>
              <w:autoSpaceDE w:val="0"/>
              <w:autoSpaceDN w:val="0"/>
              <w:adjustRightInd w:val="0"/>
              <w:spacing w:after="0" w:line="240" w:lineRule="auto"/>
              <w:jc w:val="both"/>
              <w:rPr>
                <w:sz w:val="26"/>
                <w:szCs w:val="26"/>
                <w:lang w:val="ro-RO"/>
              </w:rPr>
            </w:pPr>
            <w:r>
              <w:rPr>
                <w:sz w:val="26"/>
                <w:szCs w:val="26"/>
                <w:lang w:val="ro-RO"/>
              </w:rPr>
              <w:t>I</w:t>
            </w:r>
            <w:r>
              <w:rPr>
                <w:sz w:val="26"/>
                <w:szCs w:val="26"/>
                <w:lang w:val="ro-RO"/>
              </w:rPr>
              <w:t>nterzicerea încheierii unor angajamente legale la articole bugetare importante în ceea ce privește atât funcționarea instituțiilor</w:t>
            </w:r>
            <w:r>
              <w:rPr>
                <w:sz w:val="26"/>
                <w:szCs w:val="26"/>
                <w:lang w:val="ro-RO"/>
              </w:rPr>
              <w:t>.</w:t>
            </w:r>
          </w:p>
          <w:p w14:paraId="04B73297" w14:textId="77777777" w:rsidR="00076CD5" w:rsidRDefault="00076CD5" w:rsidP="00076CD5">
            <w:pPr>
              <w:autoSpaceDE w:val="0"/>
              <w:autoSpaceDN w:val="0"/>
              <w:adjustRightInd w:val="0"/>
              <w:spacing w:after="0" w:line="240" w:lineRule="auto"/>
              <w:jc w:val="both"/>
              <w:rPr>
                <w:sz w:val="26"/>
                <w:szCs w:val="26"/>
                <w:lang w:val="ro-RO"/>
              </w:rPr>
            </w:pPr>
          </w:p>
          <w:p w14:paraId="16730389" w14:textId="77777777" w:rsidR="00076CD5" w:rsidRDefault="00076CD5" w:rsidP="00076CD5">
            <w:pPr>
              <w:autoSpaceDE w:val="0"/>
              <w:autoSpaceDN w:val="0"/>
              <w:adjustRightInd w:val="0"/>
              <w:spacing w:after="0" w:line="240" w:lineRule="auto"/>
              <w:jc w:val="both"/>
              <w:rPr>
                <w:sz w:val="26"/>
                <w:szCs w:val="26"/>
                <w:lang w:val="ro-RO"/>
              </w:rPr>
            </w:pPr>
            <w:r>
              <w:rPr>
                <w:sz w:val="26"/>
                <w:szCs w:val="26"/>
                <w:lang w:val="ro-RO"/>
              </w:rPr>
              <w:t xml:space="preserve">Din articolul bugetar Cheltuieli curente se fac plăți pe lângă altele și pentru întreținerea de iarna a drumurilor publice, în cazul în care nu sunt încheiate angajamentele legale, nu se va putea lucra la deszăpezirea drumurilor, ceea ce pune în </w:t>
            </w:r>
            <w:r>
              <w:rPr>
                <w:sz w:val="26"/>
                <w:szCs w:val="26"/>
                <w:lang w:val="ro-RO"/>
              </w:rPr>
              <w:lastRenderedPageBreak/>
              <w:t>pericol siguranța circulației.</w:t>
            </w:r>
          </w:p>
          <w:p w14:paraId="6B797ECF" w14:textId="77777777" w:rsidR="00076CD5" w:rsidRDefault="00076CD5" w:rsidP="00076CD5">
            <w:pPr>
              <w:autoSpaceDE w:val="0"/>
              <w:autoSpaceDN w:val="0"/>
              <w:adjustRightInd w:val="0"/>
              <w:spacing w:after="0" w:line="240" w:lineRule="auto"/>
              <w:jc w:val="both"/>
              <w:rPr>
                <w:sz w:val="26"/>
                <w:szCs w:val="26"/>
                <w:lang w:val="ro-RO"/>
              </w:rPr>
            </w:pPr>
            <w:r>
              <w:rPr>
                <w:sz w:val="26"/>
                <w:szCs w:val="26"/>
                <w:lang w:val="ro-RO"/>
              </w:rPr>
              <w:t>În articolul bugetar Alte bunuri și servicii se fac plăți pentru multe categorii de plăți pentru funcționarea optimă a instituțiilor.</w:t>
            </w:r>
          </w:p>
          <w:p w14:paraId="1121D616" w14:textId="77777777" w:rsidR="001C23E5" w:rsidRDefault="00076CD5" w:rsidP="00076CD5">
            <w:pPr>
              <w:autoSpaceDE w:val="0"/>
              <w:autoSpaceDN w:val="0"/>
              <w:adjustRightInd w:val="0"/>
              <w:spacing w:after="0" w:line="240" w:lineRule="auto"/>
              <w:jc w:val="both"/>
              <w:rPr>
                <w:sz w:val="26"/>
                <w:szCs w:val="26"/>
                <w:lang w:val="ro-RO"/>
              </w:rPr>
            </w:pPr>
            <w:r>
              <w:rPr>
                <w:sz w:val="26"/>
                <w:szCs w:val="26"/>
                <w:lang w:val="ro-RO"/>
              </w:rPr>
              <w:t xml:space="preserve"> </w:t>
            </w:r>
            <w:r>
              <w:rPr>
                <w:sz w:val="26"/>
                <w:szCs w:val="26"/>
                <w:lang w:val="ro-RO"/>
              </w:rPr>
              <w:t>Din articolul bugetar ”</w:t>
            </w:r>
            <w:r w:rsidRPr="0041476C">
              <w:rPr>
                <w:sz w:val="26"/>
                <w:szCs w:val="26"/>
                <w:lang w:val="ro-RO"/>
              </w:rPr>
              <w:t>Contribuții ale administrației publice locale la realizarea unor lucrări și servicii de interes public local, în baza unor convenții sau contracte de asociere</w:t>
            </w:r>
            <w:r>
              <w:rPr>
                <w:sz w:val="26"/>
                <w:szCs w:val="26"/>
                <w:lang w:val="ro-RO"/>
              </w:rPr>
              <w:t>”, respectiv ”</w:t>
            </w:r>
            <w:r w:rsidRPr="0041476C">
              <w:rPr>
                <w:sz w:val="26"/>
                <w:szCs w:val="26"/>
                <w:lang w:val="ro-RO"/>
              </w:rPr>
              <w:t>Asociații și fundații</w:t>
            </w:r>
            <w:r>
              <w:rPr>
                <w:sz w:val="26"/>
                <w:szCs w:val="26"/>
                <w:lang w:val="ro-RO"/>
              </w:rPr>
              <w:t xml:space="preserve">” se fac plăți pentru asociațiile în care </w:t>
            </w:r>
            <w:proofErr w:type="spellStart"/>
            <w:r>
              <w:rPr>
                <w:sz w:val="26"/>
                <w:szCs w:val="26"/>
                <w:lang w:val="ro-RO"/>
              </w:rPr>
              <w:t>UAT-urile</w:t>
            </w:r>
            <w:proofErr w:type="spellEnd"/>
            <w:r>
              <w:rPr>
                <w:sz w:val="26"/>
                <w:szCs w:val="26"/>
                <w:lang w:val="ro-RO"/>
              </w:rPr>
              <w:t xml:space="preserve"> au calitate de membru sau </w:t>
            </w:r>
            <w:proofErr w:type="spellStart"/>
            <w:r>
              <w:rPr>
                <w:sz w:val="26"/>
                <w:szCs w:val="26"/>
                <w:lang w:val="ro-RO"/>
              </w:rPr>
              <w:t>ADI-uri</w:t>
            </w:r>
            <w:proofErr w:type="spellEnd"/>
            <w:r>
              <w:rPr>
                <w:sz w:val="26"/>
                <w:szCs w:val="26"/>
                <w:lang w:val="ro-RO"/>
              </w:rPr>
              <w:t>, În cazul în care angajamentele legale nu au fost încheiate funcționarea acestora este pusă în pericol.</w:t>
            </w:r>
          </w:p>
          <w:p w14:paraId="5F598A97" w14:textId="77777777" w:rsidR="001C23E5" w:rsidRDefault="001C23E5" w:rsidP="00076CD5">
            <w:pPr>
              <w:autoSpaceDE w:val="0"/>
              <w:autoSpaceDN w:val="0"/>
              <w:adjustRightInd w:val="0"/>
              <w:spacing w:after="0" w:line="240" w:lineRule="auto"/>
              <w:jc w:val="both"/>
              <w:rPr>
                <w:sz w:val="26"/>
                <w:szCs w:val="26"/>
                <w:lang w:val="ro-RO"/>
              </w:rPr>
            </w:pPr>
          </w:p>
          <w:p w14:paraId="0EF38D51" w14:textId="339C708E" w:rsidR="00076CD5" w:rsidRPr="00076CD5" w:rsidRDefault="001C23E5" w:rsidP="00076CD5">
            <w:pPr>
              <w:autoSpaceDE w:val="0"/>
              <w:autoSpaceDN w:val="0"/>
              <w:adjustRightInd w:val="0"/>
              <w:spacing w:after="0" w:line="240" w:lineRule="auto"/>
              <w:jc w:val="both"/>
              <w:rPr>
                <w:i/>
                <w:sz w:val="26"/>
                <w:szCs w:val="26"/>
                <w:lang w:val="ro-RO"/>
              </w:rPr>
            </w:pPr>
            <w:r>
              <w:rPr>
                <w:sz w:val="26"/>
                <w:szCs w:val="26"/>
                <w:lang w:val="ro-RO"/>
              </w:rPr>
              <w:t>L</w:t>
            </w:r>
            <w:r>
              <w:rPr>
                <w:sz w:val="26"/>
                <w:szCs w:val="26"/>
                <w:lang w:val="ro-RO"/>
              </w:rPr>
              <w:t>imitarea cheltuielilor la unele titluri bugetare pot afecta unele lucrări vitale, cum ar fi întreținerea de iarnă a drumurilor publice</w:t>
            </w:r>
            <w:r>
              <w:rPr>
                <w:sz w:val="26"/>
                <w:szCs w:val="26"/>
                <w:lang w:val="ro-RO"/>
              </w:rPr>
              <w:t xml:space="preserve"> dar și </w:t>
            </w:r>
            <w:proofErr w:type="spellStart"/>
            <w:r>
              <w:rPr>
                <w:sz w:val="26"/>
                <w:szCs w:val="26"/>
                <w:lang w:val="ro-RO"/>
              </w:rPr>
              <w:t>fucționarea</w:t>
            </w:r>
            <w:proofErr w:type="spellEnd"/>
            <w:r>
              <w:rPr>
                <w:sz w:val="26"/>
                <w:szCs w:val="26"/>
                <w:lang w:val="ro-RO"/>
              </w:rPr>
              <w:t xml:space="preserve"> </w:t>
            </w:r>
            <w:proofErr w:type="spellStart"/>
            <w:r>
              <w:rPr>
                <w:sz w:val="26"/>
                <w:szCs w:val="26"/>
                <w:lang w:val="ro-RO"/>
              </w:rPr>
              <w:t>UAT-urilor</w:t>
            </w:r>
            <w:proofErr w:type="spellEnd"/>
            <w:r>
              <w:rPr>
                <w:sz w:val="26"/>
                <w:szCs w:val="26"/>
                <w:lang w:val="ro-RO"/>
              </w:rPr>
              <w:t xml:space="preserve"> și a </w:t>
            </w:r>
            <w:proofErr w:type="spellStart"/>
            <w:r>
              <w:rPr>
                <w:sz w:val="26"/>
                <w:szCs w:val="26"/>
                <w:lang w:val="ro-RO"/>
              </w:rPr>
              <w:t>institițiilor</w:t>
            </w:r>
            <w:proofErr w:type="spellEnd"/>
            <w:r>
              <w:rPr>
                <w:sz w:val="26"/>
                <w:szCs w:val="26"/>
                <w:lang w:val="ro-RO"/>
              </w:rPr>
              <w:t xml:space="preserve"> subordonate</w:t>
            </w:r>
            <w:r>
              <w:rPr>
                <w:sz w:val="26"/>
                <w:szCs w:val="26"/>
                <w:lang w:val="ro-RO"/>
              </w:rPr>
              <w:t>.</w:t>
            </w:r>
            <w:r w:rsidR="00076CD5">
              <w:rPr>
                <w:sz w:val="26"/>
                <w:szCs w:val="26"/>
                <w:lang w:val="ro-RO"/>
              </w:rPr>
              <w:t xml:space="preserve"> </w:t>
            </w:r>
          </w:p>
        </w:tc>
      </w:tr>
      <w:tr w:rsidR="002A3AB5" w:rsidRPr="008C03CE" w14:paraId="426DB63F" w14:textId="77777777" w:rsidTr="005C60F9">
        <w:trPr>
          <w:trHeight w:val="145"/>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678EC3B5" w14:textId="7D92E773" w:rsidR="002A3AB5" w:rsidRPr="001C23E5" w:rsidRDefault="001C23E5" w:rsidP="004B2285">
            <w:pPr>
              <w:spacing w:after="0" w:line="240" w:lineRule="auto"/>
              <w:jc w:val="both"/>
              <w:rPr>
                <w:sz w:val="26"/>
                <w:szCs w:val="26"/>
                <w:lang w:val="ro-RO"/>
              </w:rPr>
            </w:pPr>
            <w:r>
              <w:rPr>
                <w:sz w:val="26"/>
                <w:szCs w:val="26"/>
                <w:lang w:val="ro-RO"/>
              </w:rPr>
              <w:lastRenderedPageBreak/>
              <w:t xml:space="preserve">ART. XI - </w:t>
            </w:r>
            <w:r w:rsidRPr="001C23E5">
              <w:rPr>
                <w:sz w:val="26"/>
                <w:szCs w:val="26"/>
                <w:lang w:val="ro-RO"/>
              </w:rPr>
              <w:t xml:space="preserve">Sumele defalcate din taxa pe valoarea adăugată </w:t>
            </w:r>
            <w:r w:rsidRPr="001C23E5">
              <w:rPr>
                <w:sz w:val="26"/>
                <w:szCs w:val="26"/>
                <w:lang w:val="ro-RO"/>
              </w:rPr>
              <w:lastRenderedPageBreak/>
              <w:t>pentru finanțarea cheltuielilor descentralizate la nivelul județelor, precum și sumele defalcate din taxa pe valoare adăugată pentru finanțarea cheltuielilor descentralizate la nivelul comunelor, orașelor, municipiilor, sectoarelor și municipiul București, destinate finanțării cheltuielilor determinate de implementarea Programului pentru școli al României, în perioada ianuarie-iunie a anului școlar 2022-2023, rămase neutilizate după stingerea obligațiilor de plată aferente perioadei de implementare, se disponibilizează la Fondul de rezervă bugetară la dispoziția Guvernului, în termen de 5 zile lucrătoare de la data intrării în vigoare a prezentei ordonanțe de urgență.</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AF6D4C9" w14:textId="5BF1F959" w:rsidR="00A34B21" w:rsidRPr="00395E50" w:rsidRDefault="001C23E5" w:rsidP="00102609">
            <w:pPr>
              <w:spacing w:after="0" w:line="240" w:lineRule="auto"/>
              <w:jc w:val="both"/>
              <w:rPr>
                <w:rFonts w:ascii="Trebuchet MS" w:hAnsi="Trebuchet MS"/>
                <w:sz w:val="24"/>
                <w:szCs w:val="24"/>
                <w:lang w:val="ro-RO"/>
              </w:rPr>
            </w:pPr>
            <w:r>
              <w:rPr>
                <w:sz w:val="26"/>
                <w:szCs w:val="26"/>
                <w:lang w:val="ro-RO"/>
              </w:rPr>
              <w:lastRenderedPageBreak/>
              <w:t xml:space="preserve">ART. XI - </w:t>
            </w:r>
            <w:r w:rsidRPr="001C23E5">
              <w:rPr>
                <w:sz w:val="26"/>
                <w:szCs w:val="26"/>
                <w:lang w:val="ro-RO"/>
              </w:rPr>
              <w:t xml:space="preserve">Sumele defalcate din taxa pe valoarea </w:t>
            </w:r>
            <w:r w:rsidRPr="001C23E5">
              <w:rPr>
                <w:sz w:val="26"/>
                <w:szCs w:val="26"/>
                <w:lang w:val="ro-RO"/>
              </w:rPr>
              <w:lastRenderedPageBreak/>
              <w:t xml:space="preserve">adăugată pentru finanțarea cheltuielilor descentralizate la nivelul județelor, precum și sumele defalcate din taxa pe valoare adăugată pentru finanțarea cheltuielilor descentralizate la nivelul comunelor, orașelor, municipiilor, sectoarelor și municipiul București, destinate finanțării cheltuielilor determinate de implementarea Programului pentru școli al României,  rămase neutilizate </w:t>
            </w:r>
            <w:r w:rsidR="00102609">
              <w:rPr>
                <w:sz w:val="26"/>
                <w:szCs w:val="26"/>
                <w:lang w:val="ro-RO"/>
              </w:rPr>
              <w:t xml:space="preserve">până la sfârșitul anului 2023 </w:t>
            </w:r>
            <w:r w:rsidRPr="001C23E5">
              <w:rPr>
                <w:sz w:val="26"/>
                <w:szCs w:val="26"/>
                <w:lang w:val="ro-RO"/>
              </w:rPr>
              <w:t>după stingerea obligațiilor de plată aferente perioadei de implementare, se</w:t>
            </w:r>
            <w:r w:rsidR="00102609">
              <w:rPr>
                <w:sz w:val="26"/>
                <w:szCs w:val="26"/>
                <w:lang w:val="ro-RO"/>
              </w:rPr>
              <w:t xml:space="preserve"> poate utiliza pentru </w:t>
            </w:r>
            <w:r w:rsidR="00102609" w:rsidRPr="00102609">
              <w:rPr>
                <w:rFonts w:asciiTheme="minorHAnsi" w:hAnsiTheme="minorHAnsi" w:cstheme="minorHAnsi"/>
                <w:sz w:val="26"/>
                <w:szCs w:val="26"/>
                <w:lang w:val="ro-RO"/>
              </w:rPr>
              <w:t xml:space="preserve">Finanțarea serviciilor sociale din sistemul de protecție a copilului și a serviciilor sociale pentru persoanele adulte cu </w:t>
            </w:r>
            <w:proofErr w:type="spellStart"/>
            <w:r w:rsidR="00102609" w:rsidRPr="00102609">
              <w:rPr>
                <w:rFonts w:asciiTheme="minorHAnsi" w:hAnsiTheme="minorHAnsi" w:cstheme="minorHAnsi"/>
                <w:sz w:val="26"/>
                <w:szCs w:val="26"/>
                <w:lang w:val="ro-RO"/>
              </w:rPr>
              <w:t>dizabilități</w:t>
            </w:r>
            <w:proofErr w:type="spellEnd"/>
            <w:r w:rsidR="00102609">
              <w:rPr>
                <w:rFonts w:asciiTheme="minorHAnsi" w:hAnsiTheme="minorHAnsi" w:cstheme="minorHAnsi"/>
                <w:sz w:val="26"/>
                <w:szCs w:val="26"/>
                <w:lang w:val="ro-RO"/>
              </w:rPr>
              <w:t>.</w:t>
            </w:r>
          </w:p>
        </w:tc>
        <w:tc>
          <w:tcPr>
            <w:tcW w:w="3487" w:type="dxa"/>
            <w:tcBorders>
              <w:top w:val="single" w:sz="4" w:space="0" w:color="auto"/>
              <w:left w:val="single" w:sz="4" w:space="0" w:color="auto"/>
              <w:bottom w:val="single" w:sz="4" w:space="0" w:color="auto"/>
              <w:right w:val="single" w:sz="4" w:space="0" w:color="auto"/>
            </w:tcBorders>
            <w:shd w:val="clear" w:color="auto" w:fill="auto"/>
          </w:tcPr>
          <w:p w14:paraId="0BAAC339" w14:textId="77777777" w:rsidR="001C23E5" w:rsidRPr="001C23E5" w:rsidRDefault="001C23E5" w:rsidP="001C23E5">
            <w:pPr>
              <w:spacing w:after="0" w:line="240" w:lineRule="auto"/>
              <w:jc w:val="both"/>
              <w:rPr>
                <w:bCs/>
                <w:sz w:val="26"/>
                <w:szCs w:val="26"/>
                <w:lang w:val="ro-RO"/>
              </w:rPr>
            </w:pPr>
            <w:r w:rsidRPr="001C23E5">
              <w:rPr>
                <w:bCs/>
                <w:sz w:val="26"/>
                <w:szCs w:val="26"/>
                <w:lang w:val="ro-RO"/>
              </w:rPr>
              <w:lastRenderedPageBreak/>
              <w:t xml:space="preserve">Consiliul Județean Harghita se confruntă cu probleme </w:t>
            </w:r>
            <w:r w:rsidRPr="001C23E5">
              <w:rPr>
                <w:bCs/>
                <w:sz w:val="26"/>
                <w:szCs w:val="26"/>
                <w:lang w:val="ro-RO"/>
              </w:rPr>
              <w:lastRenderedPageBreak/>
              <w:t xml:space="preserve">serioase în privința acoperirii cheltuielilor </w:t>
            </w:r>
            <w:r w:rsidRPr="001C23E5">
              <w:rPr>
                <w:rFonts w:eastAsia="Tahoma"/>
                <w:sz w:val="26"/>
                <w:szCs w:val="26"/>
                <w:lang w:val="ro-RO"/>
              </w:rPr>
              <w:t>Direcției Generale de Asistență Socială și Protecția Copilului Harghita</w:t>
            </w:r>
            <w:r w:rsidRPr="001C23E5">
              <w:rPr>
                <w:bCs/>
                <w:sz w:val="26"/>
                <w:szCs w:val="26"/>
                <w:lang w:val="ro-RO"/>
              </w:rPr>
              <w:t xml:space="preserve">. </w:t>
            </w:r>
          </w:p>
          <w:p w14:paraId="1A4E21A7" w14:textId="61C2A15E" w:rsidR="00F14911" w:rsidRPr="001C23E5" w:rsidRDefault="00102609" w:rsidP="00102609">
            <w:pPr>
              <w:spacing w:after="0" w:line="240" w:lineRule="auto"/>
              <w:jc w:val="both"/>
              <w:rPr>
                <w:sz w:val="26"/>
                <w:szCs w:val="26"/>
                <w:lang w:val="ro-RO"/>
              </w:rPr>
            </w:pPr>
            <w:r>
              <w:rPr>
                <w:sz w:val="26"/>
                <w:szCs w:val="26"/>
                <w:lang w:val="ro-RO"/>
              </w:rPr>
              <w:t>Sumele alocate din taxa pe valoarea adăugată la începutul anului sunt insuficiente, a</w:t>
            </w:r>
            <w:r w:rsidR="001C23E5" w:rsidRPr="001C23E5">
              <w:rPr>
                <w:sz w:val="26"/>
                <w:szCs w:val="26"/>
                <w:lang w:val="ro-RO"/>
              </w:rPr>
              <w:t>stfel în loc de o finanțare de 90% a costurilor cu asistență socială a județelor se ajunge la un procent de cel mult 65% asigurată din alocările din bugetul central, împovărând foarte mult bugetele Consiliilor Județene</w:t>
            </w:r>
            <w:r>
              <w:rPr>
                <w:sz w:val="26"/>
                <w:szCs w:val="26"/>
                <w:lang w:val="ro-RO"/>
              </w:rPr>
              <w:t>.</w:t>
            </w:r>
          </w:p>
        </w:tc>
      </w:tr>
    </w:tbl>
    <w:p w14:paraId="0676CE5F" w14:textId="6429683A" w:rsidR="004754EC" w:rsidRPr="003A3E0C" w:rsidRDefault="004754EC" w:rsidP="005C60F9">
      <w:pPr>
        <w:spacing w:after="0" w:line="240" w:lineRule="auto"/>
        <w:rPr>
          <w:rFonts w:cs="Times New Roman"/>
        </w:rPr>
      </w:pPr>
      <w:bookmarkStart w:id="0" w:name="_GoBack"/>
      <w:bookmarkEnd w:id="0"/>
    </w:p>
    <w:sectPr w:rsidR="004754EC" w:rsidRPr="003A3E0C" w:rsidSect="00660ED6">
      <w:headerReference w:type="default" r:id="rId7"/>
      <w:footerReference w:type="default" r:id="rId8"/>
      <w:pgSz w:w="12240" w:h="15840"/>
      <w:pgMar w:top="2127" w:right="758" w:bottom="1843" w:left="1440" w:header="708"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2AA35" w14:textId="77777777" w:rsidR="00020B45" w:rsidRDefault="00020B45">
      <w:pPr>
        <w:spacing w:after="0" w:line="240" w:lineRule="auto"/>
      </w:pPr>
      <w:r>
        <w:separator/>
      </w:r>
    </w:p>
  </w:endnote>
  <w:endnote w:type="continuationSeparator" w:id="0">
    <w:p w14:paraId="4AC5F01F" w14:textId="77777777" w:rsidR="00020B45" w:rsidRDefault="00020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Droid Sans Fallback">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FreeSans">
    <w:altName w:val="Times New Roman"/>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851D3" w14:textId="4D643B0D" w:rsidR="00CD4F17" w:rsidRDefault="00185947">
    <w:pPr>
      <w:pStyle w:val="Header"/>
      <w:tabs>
        <w:tab w:val="left" w:pos="3261"/>
        <w:tab w:val="left" w:pos="10065"/>
      </w:tabs>
      <w:jc w:val="both"/>
      <w:rPr>
        <w:color w:val="404040"/>
        <w:sz w:val="20"/>
        <w:szCs w:val="20"/>
        <w:lang w:val="hu-HU"/>
      </w:rPr>
    </w:pPr>
    <w:r>
      <w:rPr>
        <w:noProof/>
        <w:lang w:val="hu-HU" w:eastAsia="hu-HU"/>
      </w:rPr>
      <w:drawing>
        <wp:anchor distT="0" distB="0" distL="114300" distR="114300" simplePos="0" relativeHeight="251661312" behindDoc="0" locked="0" layoutInCell="1" allowOverlap="1" wp14:anchorId="7087D30B" wp14:editId="256C78D5">
          <wp:simplePos x="0" y="0"/>
          <wp:positionH relativeFrom="column">
            <wp:posOffset>-396875</wp:posOffset>
          </wp:positionH>
          <wp:positionV relativeFrom="paragraph">
            <wp:posOffset>-512445</wp:posOffset>
          </wp:positionV>
          <wp:extent cx="7252335" cy="788670"/>
          <wp:effectExtent l="0" t="0" r="5715" b="0"/>
          <wp:wrapNone/>
          <wp:docPr id="1" name="Picture 1" descr="RO lable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 lablec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2335" cy="788670"/>
                  </a:xfrm>
                  <a:prstGeom prst="rect">
                    <a:avLst/>
                  </a:prstGeom>
                  <a:noFill/>
                </pic:spPr>
              </pic:pic>
            </a:graphicData>
          </a:graphic>
          <wp14:sizeRelH relativeFrom="page">
            <wp14:pctWidth>0</wp14:pctWidth>
          </wp14:sizeRelH>
          <wp14:sizeRelV relativeFrom="page">
            <wp14:pctHeight>0</wp14:pctHeight>
          </wp14:sizeRelV>
        </wp:anchor>
      </w:drawing>
    </w:r>
    <w:r w:rsidR="0001672A">
      <w:rPr>
        <w:color w:val="404040"/>
        <w:sz w:val="20"/>
        <w:szCs w:val="20"/>
        <w:lang w:val="hu-HU"/>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13CA0" w14:textId="77777777" w:rsidR="00020B45" w:rsidRDefault="00020B45">
      <w:pPr>
        <w:spacing w:after="0" w:line="240" w:lineRule="auto"/>
      </w:pPr>
      <w:r>
        <w:separator/>
      </w:r>
    </w:p>
  </w:footnote>
  <w:footnote w:type="continuationSeparator" w:id="0">
    <w:p w14:paraId="303E6EDA" w14:textId="77777777" w:rsidR="00020B45" w:rsidRDefault="00020B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1D54B" w14:textId="55A43483" w:rsidR="00CD4F17" w:rsidRDefault="00185947">
    <w:pPr>
      <w:pStyle w:val="Header"/>
      <w:tabs>
        <w:tab w:val="left" w:pos="2905"/>
      </w:tabs>
    </w:pPr>
    <w:r>
      <w:rPr>
        <w:noProof/>
        <w:lang w:val="hu-HU" w:eastAsia="hu-HU"/>
      </w:rPr>
      <w:drawing>
        <wp:anchor distT="0" distB="0" distL="114300" distR="114300" simplePos="0" relativeHeight="251659264" behindDoc="0" locked="0" layoutInCell="1" allowOverlap="1" wp14:anchorId="639963DD" wp14:editId="65465127">
          <wp:simplePos x="0" y="0"/>
          <wp:positionH relativeFrom="column">
            <wp:posOffset>-970915</wp:posOffset>
          </wp:positionH>
          <wp:positionV relativeFrom="paragraph">
            <wp:posOffset>-448945</wp:posOffset>
          </wp:positionV>
          <wp:extent cx="7889240" cy="1259205"/>
          <wp:effectExtent l="0" t="0" r="0" b="0"/>
          <wp:wrapNone/>
          <wp:docPr id="2" name="Picture 2" descr="Elnok - RO fej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nok - RO fejl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9240" cy="1259205"/>
                  </a:xfrm>
                  <a:prstGeom prst="rect">
                    <a:avLst/>
                  </a:prstGeom>
                  <a:noFill/>
                </pic:spPr>
              </pic:pic>
            </a:graphicData>
          </a:graphic>
          <wp14:sizeRelH relativeFrom="page">
            <wp14:pctWidth>0</wp14:pctWidth>
          </wp14:sizeRelH>
          <wp14:sizeRelV relativeFrom="page">
            <wp14:pctHeight>0</wp14:pctHeight>
          </wp14:sizeRelV>
        </wp:anchor>
      </w:drawing>
    </w:r>
    <w:r w:rsidR="0001672A">
      <w:tab/>
    </w:r>
  </w:p>
  <w:p w14:paraId="0A207850" w14:textId="77777777" w:rsidR="00CD4F17" w:rsidRDefault="00CD4F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F17"/>
    <w:rsid w:val="0001672A"/>
    <w:rsid w:val="00020B45"/>
    <w:rsid w:val="00021539"/>
    <w:rsid w:val="000324BC"/>
    <w:rsid w:val="00076CD5"/>
    <w:rsid w:val="00086680"/>
    <w:rsid w:val="000F00A0"/>
    <w:rsid w:val="00102609"/>
    <w:rsid w:val="00125117"/>
    <w:rsid w:val="00185947"/>
    <w:rsid w:val="001C23E5"/>
    <w:rsid w:val="001C40D4"/>
    <w:rsid w:val="00211736"/>
    <w:rsid w:val="00216651"/>
    <w:rsid w:val="002509AA"/>
    <w:rsid w:val="00280DB5"/>
    <w:rsid w:val="002A3AB5"/>
    <w:rsid w:val="002B5E33"/>
    <w:rsid w:val="003077B9"/>
    <w:rsid w:val="00320257"/>
    <w:rsid w:val="00361270"/>
    <w:rsid w:val="00395E50"/>
    <w:rsid w:val="003A3E0C"/>
    <w:rsid w:val="003B1BAE"/>
    <w:rsid w:val="003F4495"/>
    <w:rsid w:val="0040687E"/>
    <w:rsid w:val="0041476C"/>
    <w:rsid w:val="00435294"/>
    <w:rsid w:val="004754EC"/>
    <w:rsid w:val="004B07A0"/>
    <w:rsid w:val="004B2285"/>
    <w:rsid w:val="004C2975"/>
    <w:rsid w:val="005931C9"/>
    <w:rsid w:val="005A6C49"/>
    <w:rsid w:val="005C60F9"/>
    <w:rsid w:val="00660ED6"/>
    <w:rsid w:val="00686E4A"/>
    <w:rsid w:val="0071536B"/>
    <w:rsid w:val="00715D04"/>
    <w:rsid w:val="0074188C"/>
    <w:rsid w:val="00744E9D"/>
    <w:rsid w:val="00786486"/>
    <w:rsid w:val="007920A2"/>
    <w:rsid w:val="007F3276"/>
    <w:rsid w:val="00816FCF"/>
    <w:rsid w:val="00826498"/>
    <w:rsid w:val="008319D4"/>
    <w:rsid w:val="00843512"/>
    <w:rsid w:val="008B0F4D"/>
    <w:rsid w:val="009E077F"/>
    <w:rsid w:val="00A34B21"/>
    <w:rsid w:val="00B355F5"/>
    <w:rsid w:val="00B64773"/>
    <w:rsid w:val="00BC13CA"/>
    <w:rsid w:val="00C07969"/>
    <w:rsid w:val="00C468A2"/>
    <w:rsid w:val="00CA1633"/>
    <w:rsid w:val="00CD4F17"/>
    <w:rsid w:val="00D15A9E"/>
    <w:rsid w:val="00D25CE9"/>
    <w:rsid w:val="00D42D66"/>
    <w:rsid w:val="00D54767"/>
    <w:rsid w:val="00D750C0"/>
    <w:rsid w:val="00D761F9"/>
    <w:rsid w:val="00D84740"/>
    <w:rsid w:val="00DA1C00"/>
    <w:rsid w:val="00DB4F11"/>
    <w:rsid w:val="00DC55BD"/>
    <w:rsid w:val="00DD6C48"/>
    <w:rsid w:val="00E00366"/>
    <w:rsid w:val="00E10604"/>
    <w:rsid w:val="00E20F6E"/>
    <w:rsid w:val="00EC79DE"/>
    <w:rsid w:val="00EE1CBC"/>
    <w:rsid w:val="00EF5A1C"/>
    <w:rsid w:val="00F02A77"/>
    <w:rsid w:val="00F14911"/>
    <w:rsid w:val="00F641F6"/>
    <w:rsid w:val="00F96116"/>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681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A69"/>
    <w:pPr>
      <w:suppressAutoHyphens/>
      <w:spacing w:after="200"/>
    </w:pPr>
    <w:rPr>
      <w:rFonts w:eastAsia="Times New Roman"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B61D72"/>
    <w:rPr>
      <w:rFonts w:ascii="Tahoma" w:hAnsi="Tahoma" w:cs="Tahoma"/>
      <w:sz w:val="16"/>
      <w:szCs w:val="16"/>
    </w:rPr>
  </w:style>
  <w:style w:type="character" w:customStyle="1" w:styleId="HeaderChar">
    <w:name w:val="Header Char"/>
    <w:basedOn w:val="DefaultParagraphFont"/>
    <w:link w:val="Header"/>
    <w:uiPriority w:val="99"/>
    <w:rsid w:val="00B61D72"/>
  </w:style>
  <w:style w:type="character" w:customStyle="1" w:styleId="FooterChar">
    <w:name w:val="Footer Char"/>
    <w:basedOn w:val="DefaultParagraphFont"/>
    <w:link w:val="Footer"/>
    <w:uiPriority w:val="99"/>
    <w:rsid w:val="00B61D72"/>
  </w:style>
  <w:style w:type="character" w:customStyle="1" w:styleId="InternetLink">
    <w:name w:val="Internet Link"/>
    <w:rPr>
      <w:color w:val="000080"/>
      <w:u w:val="single"/>
    </w:rPr>
  </w:style>
  <w:style w:type="character" w:customStyle="1" w:styleId="ListLabel1">
    <w:name w:val="ListLabel 1"/>
    <w:rPr>
      <w:rFonts w:cs="Symbol"/>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BalloonText">
    <w:name w:val="Balloon Text"/>
    <w:basedOn w:val="Normal"/>
    <w:link w:val="BalloonTextChar"/>
    <w:uiPriority w:val="99"/>
    <w:semiHidden/>
    <w:unhideWhenUsed/>
    <w:rsid w:val="00B61D72"/>
    <w:pPr>
      <w:spacing w:after="0" w:line="240" w:lineRule="auto"/>
    </w:pPr>
    <w:rPr>
      <w:rFonts w:ascii="Tahoma" w:hAnsi="Tahoma" w:cs="Tahoma"/>
      <w:sz w:val="16"/>
      <w:szCs w:val="16"/>
    </w:rPr>
  </w:style>
  <w:style w:type="paragraph" w:styleId="Header">
    <w:name w:val="header"/>
    <w:basedOn w:val="Normal"/>
    <w:link w:val="HeaderChar"/>
    <w:uiPriority w:val="99"/>
    <w:unhideWhenUsed/>
    <w:rsid w:val="00B61D72"/>
    <w:pPr>
      <w:tabs>
        <w:tab w:val="center" w:pos="4680"/>
        <w:tab w:val="right" w:pos="9360"/>
      </w:tabs>
      <w:spacing w:after="0" w:line="240" w:lineRule="auto"/>
    </w:pPr>
  </w:style>
  <w:style w:type="paragraph" w:styleId="Footer">
    <w:name w:val="footer"/>
    <w:basedOn w:val="Normal"/>
    <w:link w:val="FooterChar"/>
    <w:uiPriority w:val="99"/>
    <w:unhideWhenUsed/>
    <w:rsid w:val="00B61D72"/>
    <w:pPr>
      <w:tabs>
        <w:tab w:val="center" w:pos="4680"/>
        <w:tab w:val="right" w:pos="9360"/>
      </w:tabs>
      <w:spacing w:after="0" w:line="240" w:lineRule="auto"/>
    </w:pPr>
  </w:style>
  <w:style w:type="table" w:styleId="TableGrid">
    <w:name w:val="Table Grid"/>
    <w:basedOn w:val="TableNormal"/>
    <w:uiPriority w:val="39"/>
    <w:rsid w:val="00185947"/>
    <w:pPr>
      <w:spacing w:line="240" w:lineRule="auto"/>
    </w:pPr>
    <w:rPr>
      <w:rFonts w:asciiTheme="minorHAnsi" w:eastAsiaTheme="minorHAnsi" w:hAnsiTheme="minorHAnsi" w:cstheme="minorBidi"/>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A69"/>
    <w:pPr>
      <w:suppressAutoHyphens/>
      <w:spacing w:after="200"/>
    </w:pPr>
    <w:rPr>
      <w:rFonts w:eastAsia="Times New Roman"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B61D72"/>
    <w:rPr>
      <w:rFonts w:ascii="Tahoma" w:hAnsi="Tahoma" w:cs="Tahoma"/>
      <w:sz w:val="16"/>
      <w:szCs w:val="16"/>
    </w:rPr>
  </w:style>
  <w:style w:type="character" w:customStyle="1" w:styleId="HeaderChar">
    <w:name w:val="Header Char"/>
    <w:basedOn w:val="DefaultParagraphFont"/>
    <w:link w:val="Header"/>
    <w:uiPriority w:val="99"/>
    <w:rsid w:val="00B61D72"/>
  </w:style>
  <w:style w:type="character" w:customStyle="1" w:styleId="FooterChar">
    <w:name w:val="Footer Char"/>
    <w:basedOn w:val="DefaultParagraphFont"/>
    <w:link w:val="Footer"/>
    <w:uiPriority w:val="99"/>
    <w:rsid w:val="00B61D72"/>
  </w:style>
  <w:style w:type="character" w:customStyle="1" w:styleId="InternetLink">
    <w:name w:val="Internet Link"/>
    <w:rPr>
      <w:color w:val="000080"/>
      <w:u w:val="single"/>
    </w:rPr>
  </w:style>
  <w:style w:type="character" w:customStyle="1" w:styleId="ListLabel1">
    <w:name w:val="ListLabel 1"/>
    <w:rPr>
      <w:rFonts w:cs="Symbol"/>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BalloonText">
    <w:name w:val="Balloon Text"/>
    <w:basedOn w:val="Normal"/>
    <w:link w:val="BalloonTextChar"/>
    <w:uiPriority w:val="99"/>
    <w:semiHidden/>
    <w:unhideWhenUsed/>
    <w:rsid w:val="00B61D72"/>
    <w:pPr>
      <w:spacing w:after="0" w:line="240" w:lineRule="auto"/>
    </w:pPr>
    <w:rPr>
      <w:rFonts w:ascii="Tahoma" w:hAnsi="Tahoma" w:cs="Tahoma"/>
      <w:sz w:val="16"/>
      <w:szCs w:val="16"/>
    </w:rPr>
  </w:style>
  <w:style w:type="paragraph" w:styleId="Header">
    <w:name w:val="header"/>
    <w:basedOn w:val="Normal"/>
    <w:link w:val="HeaderChar"/>
    <w:uiPriority w:val="99"/>
    <w:unhideWhenUsed/>
    <w:rsid w:val="00B61D72"/>
    <w:pPr>
      <w:tabs>
        <w:tab w:val="center" w:pos="4680"/>
        <w:tab w:val="right" w:pos="9360"/>
      </w:tabs>
      <w:spacing w:after="0" w:line="240" w:lineRule="auto"/>
    </w:pPr>
  </w:style>
  <w:style w:type="paragraph" w:styleId="Footer">
    <w:name w:val="footer"/>
    <w:basedOn w:val="Normal"/>
    <w:link w:val="FooterChar"/>
    <w:uiPriority w:val="99"/>
    <w:unhideWhenUsed/>
    <w:rsid w:val="00B61D72"/>
    <w:pPr>
      <w:tabs>
        <w:tab w:val="center" w:pos="4680"/>
        <w:tab w:val="right" w:pos="9360"/>
      </w:tabs>
      <w:spacing w:after="0" w:line="240" w:lineRule="auto"/>
    </w:pPr>
  </w:style>
  <w:style w:type="table" w:styleId="TableGrid">
    <w:name w:val="Table Grid"/>
    <w:basedOn w:val="TableNormal"/>
    <w:uiPriority w:val="39"/>
    <w:rsid w:val="00185947"/>
    <w:pPr>
      <w:spacing w:line="240" w:lineRule="auto"/>
    </w:pPr>
    <w:rPr>
      <w:rFonts w:asciiTheme="minorHAnsi" w:eastAsiaTheme="minorHAnsi" w:hAnsiTheme="minorHAnsi" w:cstheme="minorBidi"/>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852</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CONSILIUL JUDETEAN HARGHITA</Company>
  <LinksUpToDate>false</LinksUpToDate>
  <CharactersWithSpaces>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Boga Emese</dc:creator>
  <cp:lastModifiedBy>Mihaly Csaba</cp:lastModifiedBy>
  <cp:revision>2</cp:revision>
  <cp:lastPrinted>2023-09-19T10:25:00Z</cp:lastPrinted>
  <dcterms:created xsi:type="dcterms:W3CDTF">2023-10-24T08:43:00Z</dcterms:created>
  <dcterms:modified xsi:type="dcterms:W3CDTF">2023-10-24T08:43:00Z</dcterms:modified>
  <dc:language>en-US</dc:language>
</cp:coreProperties>
</file>