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F4DD" w14:textId="77777777" w:rsidR="00185947" w:rsidRDefault="00185947" w:rsidP="005C60F9">
      <w:pPr>
        <w:spacing w:after="0" w:line="240" w:lineRule="auto"/>
        <w:jc w:val="both"/>
        <w:rPr>
          <w:sz w:val="26"/>
          <w:szCs w:val="26"/>
          <w:lang w:val="ro-RO"/>
        </w:rPr>
      </w:pPr>
    </w:p>
    <w:tbl>
      <w:tblPr>
        <w:tblStyle w:val="TableGrid"/>
        <w:tblW w:w="4968" w:type="pct"/>
        <w:tblInd w:w="-27" w:type="dxa"/>
        <w:tblCellMar>
          <w:left w:w="115" w:type="dxa"/>
          <w:right w:w="115" w:type="dxa"/>
        </w:tblCellMar>
        <w:tblLook w:val="04A0" w:firstRow="1" w:lastRow="0" w:firstColumn="1" w:lastColumn="0" w:noHBand="0" w:noVBand="1"/>
      </w:tblPr>
      <w:tblGrid>
        <w:gridCol w:w="9968"/>
      </w:tblGrid>
      <w:tr w:rsidR="00185947" w:rsidRPr="00D4389B" w14:paraId="547CF654" w14:textId="77777777" w:rsidTr="00185947">
        <w:tc>
          <w:tcPr>
            <w:tcW w:w="5000" w:type="pct"/>
            <w:shd w:val="clear" w:color="auto" w:fill="E5B8B7" w:themeFill="accent2" w:themeFillTint="66"/>
          </w:tcPr>
          <w:p w14:paraId="5418BFA5" w14:textId="75B44EA7" w:rsidR="00185947" w:rsidRPr="00FE0CEE" w:rsidRDefault="00185947" w:rsidP="005C60F9">
            <w:pPr>
              <w:spacing w:after="0"/>
              <w:jc w:val="center"/>
              <w:rPr>
                <w:rFonts w:ascii="Trebuchet MS" w:eastAsiaTheme="minorEastAsia" w:hAnsi="Trebuchet MS" w:cs="Times New Roman"/>
                <w:b/>
                <w:lang w:eastAsia="ro-RO"/>
              </w:rPr>
            </w:pPr>
            <w:r w:rsidRPr="00F11AD5">
              <w:rPr>
                <w:b/>
              </w:rPr>
              <w:t xml:space="preserve">Modificări legislative propuse </w:t>
            </w:r>
            <w:r>
              <w:rPr>
                <w:b/>
              </w:rPr>
              <w:t xml:space="preserve">la </w:t>
            </w:r>
            <w:r w:rsidR="00395E50" w:rsidRPr="00395E50">
              <w:rPr>
                <w:i/>
                <w:iCs/>
              </w:rPr>
              <w:t xml:space="preserve">proiectul de </w:t>
            </w:r>
            <w:r w:rsidR="00B64773">
              <w:rPr>
                <w:i/>
                <w:iCs/>
              </w:rPr>
              <w:t xml:space="preserve">lege </w:t>
            </w:r>
            <w:r w:rsidR="00B64773" w:rsidRPr="00B64773">
              <w:rPr>
                <w:i/>
                <w:iCs/>
              </w:rPr>
              <w:t>privind unele măsuri fiscal bugetare pentru asigurarea sustenabilității financiare a României pe termen lung</w:t>
            </w:r>
          </w:p>
        </w:tc>
      </w:tr>
    </w:tbl>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61"/>
        <w:gridCol w:w="3487"/>
      </w:tblGrid>
      <w:tr w:rsidR="00395E50" w:rsidRPr="008C03CE" w14:paraId="78995699" w14:textId="77777777" w:rsidTr="005C60F9">
        <w:trPr>
          <w:trHeight w:val="664"/>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2ED1400" w14:textId="5C178674" w:rsidR="00395E50" w:rsidRPr="00395E50" w:rsidRDefault="00395E50" w:rsidP="005C60F9">
            <w:pPr>
              <w:spacing w:after="0" w:line="240" w:lineRule="auto"/>
              <w:jc w:val="both"/>
              <w:rPr>
                <w:b/>
                <w:sz w:val="26"/>
                <w:szCs w:val="26"/>
                <w:lang w:val="ro-RO"/>
              </w:rPr>
            </w:pPr>
            <w:r w:rsidRPr="00395E50">
              <w:rPr>
                <w:b/>
                <w:sz w:val="26"/>
                <w:szCs w:val="26"/>
                <w:lang w:val="ro-RO"/>
              </w:rPr>
              <w:t>Text inițial</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C2540C2" w14:textId="1AD71705" w:rsidR="00395E50" w:rsidRPr="004C2975" w:rsidRDefault="00395E50" w:rsidP="005C60F9">
            <w:pPr>
              <w:spacing w:after="0" w:line="240" w:lineRule="auto"/>
              <w:ind w:firstLine="34"/>
              <w:jc w:val="both"/>
              <w:rPr>
                <w:b/>
                <w:sz w:val="26"/>
                <w:szCs w:val="26"/>
                <w:lang w:val="ro-RO" w:eastAsia="hu-HU"/>
              </w:rPr>
            </w:pPr>
            <w:r>
              <w:rPr>
                <w:b/>
                <w:sz w:val="26"/>
                <w:szCs w:val="26"/>
                <w:lang w:val="ro-RO" w:eastAsia="hu-HU"/>
              </w:rPr>
              <w:t>Propunere amendament</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0C321697" w14:textId="76402EA9" w:rsidR="00395E50" w:rsidRDefault="00395E50" w:rsidP="005C60F9">
            <w:pPr>
              <w:autoSpaceDE w:val="0"/>
              <w:autoSpaceDN w:val="0"/>
              <w:adjustRightInd w:val="0"/>
              <w:spacing w:after="0" w:line="240" w:lineRule="auto"/>
              <w:rPr>
                <w:b/>
                <w:sz w:val="26"/>
                <w:szCs w:val="26"/>
                <w:lang w:val="ro-RO"/>
              </w:rPr>
            </w:pPr>
            <w:r>
              <w:rPr>
                <w:b/>
                <w:sz w:val="26"/>
                <w:szCs w:val="26"/>
                <w:lang w:val="ro-RO"/>
              </w:rPr>
              <w:t>Justificare</w:t>
            </w:r>
          </w:p>
        </w:tc>
      </w:tr>
      <w:tr w:rsidR="00185947" w:rsidRPr="008C03CE" w14:paraId="30812016"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5FFE0FE0" w14:textId="5484693D" w:rsidR="00660ED6" w:rsidRDefault="00395E50" w:rsidP="005C60F9">
            <w:pPr>
              <w:spacing w:after="0" w:line="240" w:lineRule="auto"/>
              <w:jc w:val="both"/>
              <w:rPr>
                <w:rFonts w:ascii="Trebuchet MS" w:hAnsi="Trebuchet MS"/>
                <w:sz w:val="24"/>
                <w:szCs w:val="24"/>
                <w:lang w:val="ro-RO"/>
              </w:rPr>
            </w:pPr>
            <w:r w:rsidRPr="00395E50">
              <w:rPr>
                <w:i/>
                <w:sz w:val="26"/>
                <w:szCs w:val="26"/>
                <w:lang w:val="ro-RO"/>
              </w:rPr>
              <w:t xml:space="preserve">Art. </w:t>
            </w:r>
            <w:r w:rsidR="00D54767">
              <w:rPr>
                <w:i/>
                <w:sz w:val="26"/>
                <w:szCs w:val="26"/>
                <w:lang w:val="ro-RO"/>
              </w:rPr>
              <w:t>XVII</w:t>
            </w:r>
            <w:r w:rsidRPr="00395E50">
              <w:rPr>
                <w:i/>
                <w:sz w:val="26"/>
                <w:szCs w:val="26"/>
                <w:lang w:val="ro-RO"/>
              </w:rPr>
              <w:t xml:space="preserve"> (1)</w:t>
            </w:r>
            <w:r w:rsidRPr="00395E50">
              <w:rPr>
                <w:rFonts w:ascii="Trebuchet MS" w:hAnsi="Trebuchet MS"/>
                <w:sz w:val="24"/>
                <w:szCs w:val="24"/>
                <w:lang w:val="ro-RO"/>
              </w:rPr>
              <w:t xml:space="preserve"> Numărul de posturi vacante, neocupate, fără personal încadrat, din statele de funcții aprobate potrivit legii la data intrării în vigoare a prezentei </w:t>
            </w:r>
            <w:r w:rsidR="00D54767">
              <w:rPr>
                <w:rFonts w:ascii="Trebuchet MS" w:hAnsi="Trebuchet MS"/>
                <w:sz w:val="24"/>
                <w:szCs w:val="24"/>
                <w:lang w:val="ro-RO"/>
              </w:rPr>
              <w:t xml:space="preserve">legi </w:t>
            </w:r>
            <w:r w:rsidRPr="00395E50">
              <w:rPr>
                <w:rFonts w:ascii="Trebuchet MS" w:hAnsi="Trebuchet MS"/>
                <w:sz w:val="24"/>
                <w:szCs w:val="24"/>
                <w:lang w:val="ro-RO"/>
              </w:rPr>
              <w:t>se</w:t>
            </w:r>
            <w:r w:rsidR="00D54767">
              <w:rPr>
                <w:rFonts w:ascii="Trebuchet MS" w:hAnsi="Trebuchet MS"/>
                <w:sz w:val="24"/>
                <w:szCs w:val="24"/>
                <w:lang w:val="ro-RO"/>
              </w:rPr>
              <w:t xml:space="preserve"> desființează</w:t>
            </w:r>
            <w:r w:rsidRPr="00395E50">
              <w:rPr>
                <w:rFonts w:ascii="Trebuchet MS" w:hAnsi="Trebuchet MS"/>
                <w:sz w:val="24"/>
                <w:szCs w:val="24"/>
                <w:lang w:val="ro-RO"/>
              </w:rPr>
              <w:t>;</w:t>
            </w:r>
          </w:p>
          <w:p w14:paraId="30B3E03D" w14:textId="77777777" w:rsidR="005C60F9" w:rsidRDefault="005C60F9" w:rsidP="005C60F9">
            <w:pPr>
              <w:spacing w:after="0" w:line="240" w:lineRule="auto"/>
              <w:jc w:val="both"/>
              <w:rPr>
                <w:rFonts w:ascii="Trebuchet MS" w:hAnsi="Trebuchet MS"/>
                <w:sz w:val="24"/>
                <w:szCs w:val="24"/>
                <w:lang w:val="ro-RO"/>
              </w:rPr>
            </w:pPr>
          </w:p>
          <w:p w14:paraId="66FCBD4E" w14:textId="77777777" w:rsidR="00A34B21" w:rsidRDefault="00A34B21" w:rsidP="005C60F9">
            <w:pPr>
              <w:spacing w:after="0" w:line="240" w:lineRule="auto"/>
              <w:jc w:val="both"/>
              <w:rPr>
                <w:rFonts w:ascii="Trebuchet MS" w:hAnsi="Trebuchet MS"/>
                <w:sz w:val="24"/>
                <w:szCs w:val="24"/>
                <w:lang w:val="ro-RO"/>
              </w:rPr>
            </w:pPr>
          </w:p>
          <w:p w14:paraId="0BA1A6AA" w14:textId="77777777" w:rsidR="00D54767" w:rsidRPr="00D54767" w:rsidRDefault="00D54767" w:rsidP="00D54767">
            <w:pPr>
              <w:spacing w:after="0" w:line="240" w:lineRule="auto"/>
              <w:jc w:val="both"/>
              <w:rPr>
                <w:i/>
                <w:sz w:val="26"/>
                <w:szCs w:val="26"/>
                <w:lang w:val="ro-RO"/>
              </w:rPr>
            </w:pPr>
            <w:r w:rsidRPr="00D54767">
              <w:rPr>
                <w:i/>
                <w:sz w:val="26"/>
                <w:szCs w:val="26"/>
                <w:lang w:val="ro-RO"/>
              </w:rPr>
              <w:t>(5)</w:t>
            </w:r>
            <w:r w:rsidRPr="00D54767">
              <w:rPr>
                <w:i/>
                <w:sz w:val="26"/>
                <w:szCs w:val="26"/>
                <w:lang w:val="ro-RO"/>
              </w:rPr>
              <w:tab/>
              <w:t>Nu intră sub incidența prevederilor alin.(1) următoarele categorii de posturi:</w:t>
            </w:r>
          </w:p>
          <w:p w14:paraId="53837C82" w14:textId="77777777" w:rsidR="00D54767" w:rsidRPr="00D54767" w:rsidRDefault="00D54767" w:rsidP="00D54767">
            <w:pPr>
              <w:spacing w:after="0" w:line="240" w:lineRule="auto"/>
              <w:jc w:val="both"/>
              <w:rPr>
                <w:i/>
                <w:sz w:val="26"/>
                <w:szCs w:val="26"/>
                <w:lang w:val="ro-RO"/>
              </w:rPr>
            </w:pPr>
            <w:r w:rsidRPr="00D54767">
              <w:rPr>
                <w:i/>
                <w:sz w:val="26"/>
                <w:szCs w:val="26"/>
                <w:lang w:val="ro-RO"/>
              </w:rPr>
              <w:t xml:space="preserve"> </w:t>
            </w:r>
          </w:p>
          <w:p w14:paraId="4A8AD75E" w14:textId="77777777" w:rsidR="00D54767" w:rsidRPr="00D54767" w:rsidRDefault="00D54767" w:rsidP="00D54767">
            <w:pPr>
              <w:spacing w:after="0" w:line="240" w:lineRule="auto"/>
              <w:jc w:val="both"/>
              <w:rPr>
                <w:i/>
                <w:sz w:val="26"/>
                <w:szCs w:val="26"/>
                <w:lang w:val="ro-RO"/>
              </w:rPr>
            </w:pPr>
            <w:r w:rsidRPr="00D54767">
              <w:rPr>
                <w:i/>
                <w:sz w:val="26"/>
                <w:szCs w:val="26"/>
                <w:lang w:val="ro-RO"/>
              </w:rPr>
              <w:t>c)</w:t>
            </w:r>
            <w:r w:rsidRPr="00D54767">
              <w:rPr>
                <w:i/>
                <w:sz w:val="26"/>
                <w:szCs w:val="26"/>
                <w:lang w:val="ro-RO"/>
              </w:rPr>
              <w:tab/>
              <w:t>posturile pentru care sunt în curs de desfășurare procedurile de concurs proba scrisă sau interviu;</w:t>
            </w:r>
          </w:p>
          <w:p w14:paraId="556473A4" w14:textId="77777777" w:rsidR="005C60F9" w:rsidRPr="00395E50" w:rsidRDefault="005C60F9" w:rsidP="00D54767">
            <w:pPr>
              <w:spacing w:after="0" w:line="240" w:lineRule="auto"/>
              <w:jc w:val="both"/>
              <w:rPr>
                <w:i/>
                <w:sz w:val="26"/>
                <w:szCs w:val="26"/>
                <w:lang w:val="ro-RO"/>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AD6DEFF" w14:textId="77777777" w:rsidR="00D54767" w:rsidRDefault="00D54767" w:rsidP="00D54767">
            <w:pPr>
              <w:spacing w:after="0" w:line="240" w:lineRule="auto"/>
              <w:jc w:val="both"/>
              <w:rPr>
                <w:rFonts w:ascii="Trebuchet MS" w:hAnsi="Trebuchet MS"/>
                <w:sz w:val="24"/>
                <w:szCs w:val="24"/>
                <w:lang w:val="ro-RO"/>
              </w:rPr>
            </w:pPr>
            <w:r w:rsidRPr="00395E50">
              <w:rPr>
                <w:i/>
                <w:sz w:val="26"/>
                <w:szCs w:val="26"/>
                <w:lang w:val="ro-RO"/>
              </w:rPr>
              <w:t xml:space="preserve">Art. </w:t>
            </w:r>
            <w:r>
              <w:rPr>
                <w:i/>
                <w:sz w:val="26"/>
                <w:szCs w:val="26"/>
                <w:lang w:val="ro-RO"/>
              </w:rPr>
              <w:t>XVII</w:t>
            </w:r>
            <w:r w:rsidRPr="00395E50">
              <w:rPr>
                <w:i/>
                <w:sz w:val="26"/>
                <w:szCs w:val="26"/>
                <w:lang w:val="ro-RO"/>
              </w:rPr>
              <w:t xml:space="preserve"> (1)</w:t>
            </w:r>
            <w:r w:rsidRPr="00395E50">
              <w:rPr>
                <w:rFonts w:ascii="Trebuchet MS" w:hAnsi="Trebuchet MS"/>
                <w:sz w:val="24"/>
                <w:szCs w:val="24"/>
                <w:lang w:val="ro-RO"/>
              </w:rPr>
              <w:t xml:space="preserve"> Numărul de posturi vacante, neocupate, fără personal încadrat, din statele de funcții aprobate potrivit legii la data intrării în vigoare a prezentei </w:t>
            </w:r>
            <w:r>
              <w:rPr>
                <w:rFonts w:ascii="Trebuchet MS" w:hAnsi="Trebuchet MS"/>
                <w:sz w:val="24"/>
                <w:szCs w:val="24"/>
                <w:lang w:val="ro-RO"/>
              </w:rPr>
              <w:t xml:space="preserve">legi </w:t>
            </w:r>
            <w:r w:rsidRPr="00395E50">
              <w:rPr>
                <w:rFonts w:ascii="Trebuchet MS" w:hAnsi="Trebuchet MS"/>
                <w:sz w:val="24"/>
                <w:szCs w:val="24"/>
                <w:lang w:val="ro-RO"/>
              </w:rPr>
              <w:t>se</w:t>
            </w:r>
            <w:r>
              <w:rPr>
                <w:rFonts w:ascii="Trebuchet MS" w:hAnsi="Trebuchet MS"/>
                <w:sz w:val="24"/>
                <w:szCs w:val="24"/>
                <w:lang w:val="ro-RO"/>
              </w:rPr>
              <w:t xml:space="preserve"> desființează</w:t>
            </w:r>
            <w:r w:rsidRPr="00395E50">
              <w:rPr>
                <w:rFonts w:ascii="Trebuchet MS" w:hAnsi="Trebuchet MS"/>
                <w:sz w:val="24"/>
                <w:szCs w:val="24"/>
                <w:lang w:val="ro-RO"/>
              </w:rPr>
              <w:t>;</w:t>
            </w:r>
          </w:p>
          <w:p w14:paraId="5035DE90" w14:textId="77777777" w:rsidR="00D54767" w:rsidRDefault="00D54767" w:rsidP="005C60F9">
            <w:pPr>
              <w:spacing w:after="0" w:line="240" w:lineRule="auto"/>
              <w:ind w:firstLine="34"/>
              <w:jc w:val="both"/>
              <w:rPr>
                <w:rFonts w:ascii="Trebuchet MS" w:hAnsi="Trebuchet MS"/>
                <w:sz w:val="24"/>
                <w:szCs w:val="24"/>
                <w:lang w:val="ro-RO"/>
              </w:rPr>
            </w:pPr>
          </w:p>
          <w:p w14:paraId="11CA62AC" w14:textId="77777777" w:rsidR="00D54767" w:rsidRDefault="00D54767" w:rsidP="00A34B21">
            <w:pPr>
              <w:spacing w:after="0" w:line="240" w:lineRule="auto"/>
              <w:ind w:firstLine="34"/>
              <w:jc w:val="both"/>
              <w:rPr>
                <w:rFonts w:ascii="Trebuchet MS" w:hAnsi="Trebuchet MS"/>
                <w:sz w:val="24"/>
                <w:szCs w:val="24"/>
                <w:lang w:val="ro-RO"/>
              </w:rPr>
            </w:pPr>
          </w:p>
          <w:p w14:paraId="1C381B02" w14:textId="77777777" w:rsidR="00D54767" w:rsidRDefault="00D54767" w:rsidP="00A34B21">
            <w:pPr>
              <w:spacing w:after="0" w:line="240" w:lineRule="auto"/>
              <w:ind w:firstLine="34"/>
              <w:jc w:val="both"/>
              <w:rPr>
                <w:rFonts w:ascii="Trebuchet MS" w:hAnsi="Trebuchet MS"/>
                <w:sz w:val="24"/>
                <w:szCs w:val="24"/>
                <w:lang w:val="ro-RO"/>
              </w:rPr>
            </w:pPr>
          </w:p>
          <w:p w14:paraId="2F70C9E2" w14:textId="77777777" w:rsidR="00D54767" w:rsidRDefault="00D54767" w:rsidP="00A34B21">
            <w:pPr>
              <w:spacing w:after="0" w:line="240" w:lineRule="auto"/>
              <w:ind w:firstLine="34"/>
              <w:jc w:val="both"/>
              <w:rPr>
                <w:rFonts w:ascii="Trebuchet MS" w:hAnsi="Trebuchet MS"/>
                <w:sz w:val="24"/>
                <w:szCs w:val="24"/>
                <w:lang w:val="ro-RO"/>
              </w:rPr>
            </w:pPr>
          </w:p>
          <w:p w14:paraId="14FDB8BF" w14:textId="77777777" w:rsidR="00D54767" w:rsidRDefault="00D54767" w:rsidP="00A34B21">
            <w:pPr>
              <w:spacing w:after="0" w:line="240" w:lineRule="auto"/>
              <w:ind w:firstLine="34"/>
              <w:jc w:val="both"/>
              <w:rPr>
                <w:rFonts w:ascii="Trebuchet MS" w:hAnsi="Trebuchet MS"/>
                <w:sz w:val="24"/>
                <w:szCs w:val="24"/>
                <w:lang w:val="ro-RO"/>
              </w:rPr>
            </w:pPr>
          </w:p>
          <w:p w14:paraId="64A54277" w14:textId="77777777" w:rsidR="00D54767" w:rsidRDefault="00D54767" w:rsidP="00A34B21">
            <w:pPr>
              <w:spacing w:after="0" w:line="240" w:lineRule="auto"/>
              <w:ind w:firstLine="34"/>
              <w:jc w:val="both"/>
              <w:rPr>
                <w:rFonts w:ascii="Trebuchet MS" w:hAnsi="Trebuchet MS"/>
                <w:sz w:val="24"/>
                <w:szCs w:val="24"/>
                <w:lang w:val="ro-RO"/>
              </w:rPr>
            </w:pPr>
          </w:p>
          <w:p w14:paraId="32F3A938" w14:textId="77777777" w:rsidR="00D54767" w:rsidRDefault="00D54767" w:rsidP="00A34B21">
            <w:pPr>
              <w:spacing w:after="0" w:line="240" w:lineRule="auto"/>
              <w:ind w:firstLine="34"/>
              <w:jc w:val="both"/>
              <w:rPr>
                <w:rFonts w:ascii="Trebuchet MS" w:hAnsi="Trebuchet MS"/>
                <w:sz w:val="24"/>
                <w:szCs w:val="24"/>
                <w:lang w:val="ro-RO"/>
              </w:rPr>
            </w:pPr>
          </w:p>
          <w:p w14:paraId="48AFA8F4" w14:textId="77777777" w:rsidR="00D54767" w:rsidRDefault="00D54767" w:rsidP="00A34B21">
            <w:pPr>
              <w:spacing w:after="0" w:line="240" w:lineRule="auto"/>
              <w:ind w:firstLine="34"/>
              <w:jc w:val="both"/>
              <w:rPr>
                <w:rFonts w:ascii="Trebuchet MS" w:hAnsi="Trebuchet MS"/>
                <w:sz w:val="24"/>
                <w:szCs w:val="24"/>
                <w:lang w:val="ro-RO"/>
              </w:rPr>
            </w:pPr>
          </w:p>
          <w:p w14:paraId="15F169CA" w14:textId="2AC94322" w:rsidR="00D54767" w:rsidRDefault="00D54767" w:rsidP="00A34B21">
            <w:pPr>
              <w:spacing w:after="0" w:line="240" w:lineRule="auto"/>
              <w:ind w:firstLine="34"/>
              <w:jc w:val="both"/>
              <w:rPr>
                <w:rFonts w:ascii="Trebuchet MS" w:hAnsi="Trebuchet MS"/>
                <w:sz w:val="24"/>
                <w:szCs w:val="24"/>
                <w:lang w:val="ro-RO"/>
              </w:rPr>
            </w:pPr>
            <w:r w:rsidRPr="002F2722">
              <w:rPr>
                <w:rFonts w:ascii="Trebuchet MS" w:hAnsi="Trebuchet MS" w:cs="Trebuchet MS"/>
                <w:b/>
                <w:bCs/>
                <w:color w:val="FF0000"/>
                <w:sz w:val="23"/>
                <w:szCs w:val="23"/>
                <w:lang w:val="ro-RO"/>
              </w:rPr>
              <w:t xml:space="preserve">c) posturile pentru care sunt în curs de desfășurare procedurile de concurs </w:t>
            </w:r>
            <w:r w:rsidRPr="00FA003F">
              <w:rPr>
                <w:rFonts w:ascii="Trebuchet MS" w:hAnsi="Trebuchet MS" w:cs="Trebuchet MS"/>
                <w:b/>
                <w:bCs/>
                <w:color w:val="FF0000"/>
                <w:sz w:val="23"/>
                <w:szCs w:val="23"/>
                <w:lang w:val="ro-RO"/>
              </w:rPr>
              <w:t>și anunțul de recrutare s-a publicat înainte de data publicării în Monitorul Oficial a prezentei Ordonanțe de Urgență</w:t>
            </w:r>
            <w:r w:rsidRPr="002F2722">
              <w:rPr>
                <w:rFonts w:ascii="Trebuchet MS" w:hAnsi="Trebuchet MS" w:cs="Trebuchet MS"/>
                <w:b/>
                <w:bCs/>
                <w:color w:val="FF0000"/>
                <w:sz w:val="23"/>
                <w:szCs w:val="23"/>
                <w:lang w:val="ro-RO"/>
              </w:rPr>
              <w:t>;</w:t>
            </w:r>
          </w:p>
          <w:p w14:paraId="6974395B" w14:textId="77777777" w:rsidR="00D54767" w:rsidRDefault="00D54767" w:rsidP="00A34B21">
            <w:pPr>
              <w:spacing w:after="0" w:line="240" w:lineRule="auto"/>
              <w:ind w:firstLine="34"/>
              <w:jc w:val="both"/>
              <w:rPr>
                <w:rFonts w:ascii="Trebuchet MS" w:hAnsi="Trebuchet MS"/>
                <w:sz w:val="24"/>
                <w:szCs w:val="24"/>
                <w:lang w:val="ro-RO"/>
              </w:rPr>
            </w:pPr>
          </w:p>
          <w:p w14:paraId="5E7B326D" w14:textId="55A54111" w:rsidR="00A34B21" w:rsidRDefault="00A34B21" w:rsidP="00A34B21">
            <w:pPr>
              <w:spacing w:after="0" w:line="240" w:lineRule="auto"/>
              <w:ind w:firstLine="34"/>
              <w:jc w:val="both"/>
              <w:rPr>
                <w:rFonts w:ascii="Trebuchet MS" w:hAnsi="Trebuchet MS"/>
                <w:sz w:val="24"/>
                <w:szCs w:val="24"/>
                <w:lang w:val="ro-RO"/>
              </w:rPr>
            </w:pPr>
            <w:r>
              <w:rPr>
                <w:rFonts w:ascii="Trebuchet MS" w:hAnsi="Trebuchet MS"/>
                <w:sz w:val="24"/>
                <w:szCs w:val="24"/>
                <w:lang w:val="ro-RO"/>
              </w:rPr>
              <w:t>La alin (</w:t>
            </w:r>
            <w:r w:rsidR="00D54767">
              <w:rPr>
                <w:rFonts w:ascii="Trebuchet MS" w:hAnsi="Trebuchet MS"/>
                <w:sz w:val="24"/>
                <w:szCs w:val="24"/>
                <w:lang w:val="ro-RO"/>
              </w:rPr>
              <w:t>5</w:t>
            </w:r>
            <w:r>
              <w:rPr>
                <w:rFonts w:ascii="Trebuchet MS" w:hAnsi="Trebuchet MS"/>
                <w:sz w:val="24"/>
                <w:szCs w:val="24"/>
                <w:lang w:val="ro-RO"/>
              </w:rPr>
              <w:t xml:space="preserve">) se introduce </w:t>
            </w:r>
            <w:proofErr w:type="spellStart"/>
            <w:r>
              <w:rPr>
                <w:rFonts w:ascii="Trebuchet MS" w:hAnsi="Trebuchet MS"/>
                <w:sz w:val="24"/>
                <w:szCs w:val="24"/>
                <w:lang w:val="ro-RO"/>
              </w:rPr>
              <w:t>lit</w:t>
            </w:r>
            <w:proofErr w:type="spellEnd"/>
            <w:r>
              <w:rPr>
                <w:rFonts w:ascii="Trebuchet MS" w:hAnsi="Trebuchet MS"/>
                <w:sz w:val="24"/>
                <w:szCs w:val="24"/>
                <w:lang w:val="ro-RO"/>
              </w:rPr>
              <w:t xml:space="preserve"> </w:t>
            </w:r>
            <w:r w:rsidR="00D54767">
              <w:rPr>
                <w:rFonts w:ascii="Trebuchet MS" w:hAnsi="Trebuchet MS"/>
                <w:sz w:val="24"/>
                <w:szCs w:val="24"/>
                <w:lang w:val="ro-RO"/>
              </w:rPr>
              <w:t>o</w:t>
            </w:r>
            <w:r>
              <w:rPr>
                <w:rFonts w:ascii="Trebuchet MS" w:hAnsi="Trebuchet MS"/>
                <w:sz w:val="24"/>
                <w:szCs w:val="24"/>
                <w:lang w:val="ro-RO"/>
              </w:rPr>
              <w:t>)</w:t>
            </w:r>
            <w:r w:rsidR="00DD6C48">
              <w:rPr>
                <w:rFonts w:ascii="Trebuchet MS" w:hAnsi="Trebuchet MS"/>
                <w:sz w:val="24"/>
                <w:szCs w:val="24"/>
                <w:lang w:val="ro-RO"/>
              </w:rPr>
              <w:t>,</w:t>
            </w:r>
            <w:r>
              <w:rPr>
                <w:rFonts w:ascii="Trebuchet MS" w:hAnsi="Trebuchet MS"/>
                <w:sz w:val="24"/>
                <w:szCs w:val="24"/>
                <w:lang w:val="ro-RO"/>
              </w:rPr>
              <w:t xml:space="preserve"> </w:t>
            </w:r>
            <w:r w:rsidR="00D54767">
              <w:rPr>
                <w:rFonts w:ascii="Trebuchet MS" w:hAnsi="Trebuchet MS"/>
                <w:sz w:val="24"/>
                <w:szCs w:val="24"/>
                <w:lang w:val="ro-RO"/>
              </w:rPr>
              <w:t>p)</w:t>
            </w:r>
            <w:r w:rsidR="00DD6C48">
              <w:rPr>
                <w:rFonts w:ascii="Trebuchet MS" w:hAnsi="Trebuchet MS"/>
                <w:sz w:val="24"/>
                <w:szCs w:val="24"/>
                <w:lang w:val="ro-RO"/>
              </w:rPr>
              <w:t xml:space="preserve"> și q)</w:t>
            </w:r>
            <w:r w:rsidR="00D54767">
              <w:rPr>
                <w:rFonts w:ascii="Trebuchet MS" w:hAnsi="Trebuchet MS"/>
                <w:sz w:val="24"/>
                <w:szCs w:val="24"/>
                <w:lang w:val="ro-RO"/>
              </w:rPr>
              <w:t xml:space="preserve"> </w:t>
            </w:r>
            <w:r>
              <w:rPr>
                <w:rFonts w:ascii="Trebuchet MS" w:hAnsi="Trebuchet MS"/>
                <w:sz w:val="24"/>
                <w:szCs w:val="24"/>
                <w:lang w:val="ro-RO"/>
              </w:rPr>
              <w:t>cu următorul cuprins:</w:t>
            </w:r>
          </w:p>
          <w:p w14:paraId="3588EAFA" w14:textId="77777777" w:rsidR="00A34B21" w:rsidRDefault="00A34B21" w:rsidP="00A34B21">
            <w:pPr>
              <w:spacing w:after="0" w:line="240" w:lineRule="auto"/>
              <w:ind w:firstLine="34"/>
              <w:jc w:val="both"/>
              <w:rPr>
                <w:rFonts w:ascii="Trebuchet MS" w:hAnsi="Trebuchet MS" w:cs="Trebuchet MS"/>
                <w:b/>
                <w:bCs/>
                <w:color w:val="FF0000"/>
                <w:sz w:val="23"/>
                <w:szCs w:val="23"/>
                <w:lang w:val="ro-RO"/>
              </w:rPr>
            </w:pPr>
          </w:p>
          <w:p w14:paraId="1CB43E7F" w14:textId="4F214A90" w:rsidR="00A34B21" w:rsidRDefault="00A34B21" w:rsidP="00A34B21">
            <w:pPr>
              <w:spacing w:after="0" w:line="240" w:lineRule="auto"/>
              <w:ind w:firstLine="34"/>
              <w:jc w:val="both"/>
              <w:rPr>
                <w:rFonts w:ascii="Trebuchet MS" w:hAnsi="Trebuchet MS"/>
                <w:sz w:val="24"/>
                <w:szCs w:val="24"/>
                <w:lang w:val="ro-RO"/>
              </w:rPr>
            </w:pPr>
            <w:r>
              <w:rPr>
                <w:rFonts w:ascii="Trebuchet MS" w:hAnsi="Trebuchet MS" w:cs="Trebuchet MS"/>
                <w:b/>
                <w:bCs/>
                <w:color w:val="FF0000"/>
                <w:sz w:val="23"/>
                <w:szCs w:val="23"/>
                <w:lang w:val="ro-RO"/>
              </w:rPr>
              <w:t>„</w:t>
            </w:r>
            <w:r w:rsidR="00D54767">
              <w:rPr>
                <w:rFonts w:ascii="Trebuchet MS" w:hAnsi="Trebuchet MS" w:cs="Trebuchet MS"/>
                <w:b/>
                <w:bCs/>
                <w:color w:val="FF0000"/>
                <w:sz w:val="23"/>
                <w:szCs w:val="23"/>
                <w:lang w:val="ro-RO"/>
              </w:rPr>
              <w:t>o</w:t>
            </w:r>
            <w:r>
              <w:rPr>
                <w:rFonts w:ascii="Trebuchet MS" w:hAnsi="Trebuchet MS" w:cs="Trebuchet MS"/>
                <w:b/>
                <w:bCs/>
                <w:color w:val="FF0000"/>
                <w:sz w:val="23"/>
                <w:szCs w:val="23"/>
                <w:lang w:val="ro-RO"/>
              </w:rPr>
              <w:t xml:space="preserve">) </w:t>
            </w:r>
            <w:r w:rsidRPr="00FA003F">
              <w:rPr>
                <w:rFonts w:ascii="Trebuchet MS" w:hAnsi="Trebuchet MS" w:cs="Trebuchet MS"/>
                <w:b/>
                <w:bCs/>
                <w:color w:val="FF0000"/>
                <w:sz w:val="23"/>
                <w:szCs w:val="23"/>
                <w:lang w:val="ro-RO"/>
              </w:rPr>
              <w:t>serviciile publice de salvamont, agențiile dezvoltare județeană sau locală, direcțiile județene de evidența persoanelor.</w:t>
            </w:r>
            <w:r>
              <w:rPr>
                <w:rFonts w:ascii="Trebuchet MS" w:hAnsi="Trebuchet MS" w:cs="Trebuchet MS"/>
                <w:b/>
                <w:bCs/>
                <w:color w:val="FF0000"/>
                <w:sz w:val="23"/>
                <w:szCs w:val="23"/>
                <w:lang w:val="ro-RO"/>
              </w:rPr>
              <w:t>”</w:t>
            </w:r>
          </w:p>
          <w:p w14:paraId="66596F1F" w14:textId="77777777" w:rsidR="00A34B21" w:rsidRDefault="00A34B21" w:rsidP="005C60F9">
            <w:pPr>
              <w:spacing w:after="0" w:line="240" w:lineRule="auto"/>
              <w:ind w:firstLine="34"/>
              <w:jc w:val="both"/>
              <w:rPr>
                <w:rFonts w:ascii="Trebuchet MS" w:hAnsi="Trebuchet MS"/>
                <w:sz w:val="24"/>
                <w:szCs w:val="24"/>
                <w:lang w:val="ro-RO"/>
              </w:rPr>
            </w:pPr>
          </w:p>
          <w:p w14:paraId="57745DA6" w14:textId="3A71FE25" w:rsidR="00A34B21" w:rsidRPr="00FA003F" w:rsidRDefault="00D54767" w:rsidP="00A34B21">
            <w:pPr>
              <w:autoSpaceDE w:val="0"/>
              <w:autoSpaceDN w:val="0"/>
              <w:adjustRightInd w:val="0"/>
              <w:spacing w:after="0" w:line="240" w:lineRule="auto"/>
              <w:jc w:val="both"/>
              <w:rPr>
                <w:rFonts w:ascii="Trebuchet MS" w:hAnsi="Trebuchet MS" w:cs="Trebuchet MS"/>
                <w:b/>
                <w:bCs/>
                <w:color w:val="FF0000"/>
                <w:sz w:val="23"/>
                <w:szCs w:val="23"/>
                <w:lang w:val="ro-RO"/>
              </w:rPr>
            </w:pPr>
            <w:r>
              <w:rPr>
                <w:rFonts w:ascii="Trebuchet MS" w:hAnsi="Trebuchet MS" w:cs="Trebuchet MS"/>
                <w:b/>
                <w:bCs/>
                <w:color w:val="FF0000"/>
                <w:sz w:val="23"/>
                <w:szCs w:val="23"/>
                <w:lang w:val="ro-RO"/>
              </w:rPr>
              <w:t>p</w:t>
            </w:r>
            <w:r w:rsidR="00A34B21" w:rsidRPr="00FA003F">
              <w:rPr>
                <w:rFonts w:ascii="Trebuchet MS" w:hAnsi="Trebuchet MS" w:cs="Trebuchet MS"/>
                <w:b/>
                <w:bCs/>
                <w:color w:val="FF0000"/>
                <w:sz w:val="23"/>
                <w:szCs w:val="23"/>
                <w:lang w:val="ro-RO"/>
              </w:rPr>
              <w:t>)</w:t>
            </w:r>
            <w:r w:rsidR="00A34B21" w:rsidRPr="002F2722">
              <w:rPr>
                <w:rFonts w:ascii="Trebuchet MS" w:hAnsi="Trebuchet MS" w:cs="Trebuchet MS"/>
                <w:b/>
                <w:bCs/>
                <w:color w:val="FF0000"/>
                <w:sz w:val="23"/>
                <w:szCs w:val="23"/>
                <w:lang w:val="ro-RO"/>
              </w:rPr>
              <w:t xml:space="preserve"> posturile vacante </w:t>
            </w:r>
            <w:r w:rsidR="00A34B21" w:rsidRPr="00FA003F">
              <w:rPr>
                <w:rFonts w:ascii="Trebuchet MS" w:hAnsi="Trebuchet MS" w:cs="Trebuchet MS"/>
                <w:b/>
                <w:bCs/>
                <w:color w:val="FF0000"/>
                <w:sz w:val="23"/>
                <w:szCs w:val="23"/>
                <w:lang w:val="ro-RO"/>
              </w:rPr>
              <w:t xml:space="preserve">din cadrul structurilor organizatorice din </w:t>
            </w:r>
            <w:r w:rsidR="00A34B21" w:rsidRPr="00FA003F">
              <w:rPr>
                <w:rFonts w:ascii="Trebuchet MS" w:hAnsi="Trebuchet MS" w:cs="Trebuchet MS"/>
                <w:b/>
                <w:bCs/>
                <w:color w:val="FF0000"/>
                <w:sz w:val="23"/>
                <w:szCs w:val="23"/>
                <w:lang w:val="ro-RO"/>
              </w:rPr>
              <w:lastRenderedPageBreak/>
              <w:t>domeniile: digitalizării, informaticii, achiziții publice și unitățile centralizate de achiziție publică, structurile responsabile de implementarea proiectelor finanțate din fonduri europene nerambursabile și/sau prin Mecanismul de redresare și reziliență, venit, colectare creanțe bugetare,  buget și urbanism.</w:t>
            </w:r>
          </w:p>
          <w:p w14:paraId="09B5437B" w14:textId="7A1E843F" w:rsidR="005C60F9" w:rsidRPr="00395E50" w:rsidRDefault="00DD6C48" w:rsidP="00DD6C48">
            <w:pPr>
              <w:spacing w:after="0" w:line="240" w:lineRule="auto"/>
              <w:ind w:firstLine="34"/>
              <w:jc w:val="both"/>
              <w:rPr>
                <w:b/>
                <w:sz w:val="26"/>
                <w:szCs w:val="26"/>
                <w:lang w:val="ro-RO" w:eastAsia="hu-HU"/>
              </w:rPr>
            </w:pPr>
            <w:r>
              <w:rPr>
                <w:b/>
                <w:color w:val="FF0000"/>
                <w:sz w:val="26"/>
                <w:szCs w:val="26"/>
                <w:lang w:val="ro-RO" w:eastAsia="hu-HU"/>
              </w:rPr>
              <w:t>q</w:t>
            </w:r>
            <w:r w:rsidR="005C60F9" w:rsidRPr="005C60F9">
              <w:rPr>
                <w:b/>
                <w:color w:val="FF0000"/>
                <w:sz w:val="26"/>
                <w:szCs w:val="26"/>
                <w:lang w:val="ro-RO" w:eastAsia="hu-HU"/>
              </w:rPr>
              <w:t>) posturile necesare (vacante existente și crearea de noi posturi) pentru desfășurarea activităților Unităților Centralizate de Achiziții Publice“.</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06A5B6D3" w14:textId="77777777" w:rsidR="005C60F9" w:rsidRDefault="004C2975" w:rsidP="005C60F9">
            <w:pPr>
              <w:autoSpaceDE w:val="0"/>
              <w:autoSpaceDN w:val="0"/>
              <w:adjustRightInd w:val="0"/>
              <w:spacing w:after="0" w:line="240" w:lineRule="auto"/>
              <w:jc w:val="both"/>
              <w:rPr>
                <w:sz w:val="26"/>
                <w:szCs w:val="26"/>
                <w:lang w:val="ro-RO"/>
              </w:rPr>
            </w:pPr>
            <w:r w:rsidRPr="005C60F9">
              <w:rPr>
                <w:sz w:val="26"/>
                <w:szCs w:val="26"/>
                <w:lang w:val="ro-RO"/>
              </w:rPr>
              <w:lastRenderedPageBreak/>
              <w:t>Considerăm că această prevedere blochează activitatea în administrația publică locală.</w:t>
            </w:r>
          </w:p>
          <w:p w14:paraId="690225F3" w14:textId="77777777" w:rsidR="005C60F9" w:rsidRDefault="005C60F9" w:rsidP="005C60F9">
            <w:pPr>
              <w:autoSpaceDE w:val="0"/>
              <w:autoSpaceDN w:val="0"/>
              <w:adjustRightInd w:val="0"/>
              <w:spacing w:after="0" w:line="240" w:lineRule="auto"/>
              <w:jc w:val="both"/>
              <w:rPr>
                <w:sz w:val="26"/>
                <w:szCs w:val="26"/>
                <w:lang w:val="ro-RO"/>
              </w:rPr>
            </w:pPr>
          </w:p>
          <w:p w14:paraId="2539D133" w14:textId="77777777" w:rsidR="00A34B21" w:rsidRDefault="004C2975" w:rsidP="005C60F9">
            <w:pPr>
              <w:autoSpaceDE w:val="0"/>
              <w:autoSpaceDN w:val="0"/>
              <w:adjustRightInd w:val="0"/>
              <w:spacing w:after="0" w:line="240" w:lineRule="auto"/>
              <w:jc w:val="both"/>
              <w:rPr>
                <w:sz w:val="26"/>
                <w:szCs w:val="26"/>
                <w:lang w:val="ro-RO"/>
              </w:rPr>
            </w:pPr>
            <w:r w:rsidRPr="005C60F9">
              <w:rPr>
                <w:sz w:val="26"/>
                <w:szCs w:val="26"/>
                <w:lang w:val="ro-RO"/>
              </w:rPr>
              <w:t xml:space="preserve"> </w:t>
            </w:r>
          </w:p>
          <w:p w14:paraId="4F2D494B" w14:textId="77777777" w:rsidR="00A34B21" w:rsidRDefault="00A34B21" w:rsidP="005C60F9">
            <w:pPr>
              <w:autoSpaceDE w:val="0"/>
              <w:autoSpaceDN w:val="0"/>
              <w:adjustRightInd w:val="0"/>
              <w:spacing w:after="0" w:line="240" w:lineRule="auto"/>
              <w:jc w:val="both"/>
              <w:rPr>
                <w:sz w:val="26"/>
                <w:szCs w:val="26"/>
                <w:lang w:val="ro-RO"/>
              </w:rPr>
            </w:pPr>
          </w:p>
          <w:p w14:paraId="1761A3E1" w14:textId="77777777" w:rsidR="00A34B21" w:rsidRDefault="00A34B21" w:rsidP="005C60F9">
            <w:pPr>
              <w:autoSpaceDE w:val="0"/>
              <w:autoSpaceDN w:val="0"/>
              <w:adjustRightInd w:val="0"/>
              <w:spacing w:after="0" w:line="240" w:lineRule="auto"/>
              <w:jc w:val="both"/>
              <w:rPr>
                <w:sz w:val="26"/>
                <w:szCs w:val="26"/>
                <w:lang w:val="ro-RO"/>
              </w:rPr>
            </w:pPr>
          </w:p>
          <w:p w14:paraId="17D8BC38" w14:textId="77777777" w:rsidR="00A34B21" w:rsidRDefault="00A34B21" w:rsidP="005C60F9">
            <w:pPr>
              <w:autoSpaceDE w:val="0"/>
              <w:autoSpaceDN w:val="0"/>
              <w:adjustRightInd w:val="0"/>
              <w:spacing w:after="0" w:line="240" w:lineRule="auto"/>
              <w:jc w:val="both"/>
              <w:rPr>
                <w:sz w:val="26"/>
                <w:szCs w:val="26"/>
                <w:lang w:val="ro-RO"/>
              </w:rPr>
            </w:pPr>
          </w:p>
          <w:p w14:paraId="70B95CC6" w14:textId="77777777" w:rsidR="00A34B21" w:rsidRDefault="00A34B21" w:rsidP="005C60F9">
            <w:pPr>
              <w:autoSpaceDE w:val="0"/>
              <w:autoSpaceDN w:val="0"/>
              <w:adjustRightInd w:val="0"/>
              <w:spacing w:after="0" w:line="240" w:lineRule="auto"/>
              <w:jc w:val="both"/>
              <w:rPr>
                <w:sz w:val="26"/>
                <w:szCs w:val="26"/>
                <w:lang w:val="ro-RO"/>
              </w:rPr>
            </w:pPr>
          </w:p>
          <w:p w14:paraId="4A9885AD" w14:textId="77777777" w:rsidR="00DD6C48" w:rsidRDefault="00DD6C48" w:rsidP="005C60F9">
            <w:pPr>
              <w:autoSpaceDE w:val="0"/>
              <w:autoSpaceDN w:val="0"/>
              <w:adjustRightInd w:val="0"/>
              <w:spacing w:after="0" w:line="240" w:lineRule="auto"/>
              <w:jc w:val="both"/>
              <w:rPr>
                <w:sz w:val="26"/>
                <w:szCs w:val="26"/>
                <w:lang w:val="ro-RO"/>
              </w:rPr>
            </w:pPr>
          </w:p>
          <w:p w14:paraId="3D4D1D16" w14:textId="282DE704" w:rsidR="00DD6C48" w:rsidRDefault="00DD6C48" w:rsidP="005C60F9">
            <w:pPr>
              <w:autoSpaceDE w:val="0"/>
              <w:autoSpaceDN w:val="0"/>
              <w:adjustRightInd w:val="0"/>
              <w:spacing w:after="0" w:line="240" w:lineRule="auto"/>
              <w:jc w:val="both"/>
              <w:rPr>
                <w:sz w:val="26"/>
                <w:szCs w:val="26"/>
                <w:lang w:val="ro-RO"/>
              </w:rPr>
            </w:pPr>
            <w:r w:rsidRPr="00A34B21">
              <w:rPr>
                <w:sz w:val="26"/>
                <w:szCs w:val="26"/>
                <w:lang w:val="ro-RO"/>
              </w:rPr>
              <w:t>Propunem modificarea modului de formulare a restricțiilor privind organizarea concursurilor, având în vedere faptul că după publicarea anunțului de recrutare de către o instituție publică, și depunerea dosarelor de înscriere a candidaților, concursul poate fi considerat început.</w:t>
            </w:r>
          </w:p>
          <w:p w14:paraId="5261AEC1" w14:textId="77777777" w:rsidR="00DD6C48" w:rsidRDefault="00DD6C48" w:rsidP="005C60F9">
            <w:pPr>
              <w:autoSpaceDE w:val="0"/>
              <w:autoSpaceDN w:val="0"/>
              <w:adjustRightInd w:val="0"/>
              <w:spacing w:after="0" w:line="240" w:lineRule="auto"/>
              <w:jc w:val="both"/>
              <w:rPr>
                <w:sz w:val="26"/>
                <w:szCs w:val="26"/>
                <w:lang w:val="ro-RO"/>
              </w:rPr>
            </w:pPr>
          </w:p>
          <w:p w14:paraId="087A132F" w14:textId="77777777" w:rsidR="00DD6C48" w:rsidRDefault="00DD6C48" w:rsidP="005C60F9">
            <w:pPr>
              <w:autoSpaceDE w:val="0"/>
              <w:autoSpaceDN w:val="0"/>
              <w:adjustRightInd w:val="0"/>
              <w:spacing w:after="0" w:line="240" w:lineRule="auto"/>
              <w:jc w:val="both"/>
              <w:rPr>
                <w:sz w:val="26"/>
                <w:szCs w:val="26"/>
                <w:lang w:val="ro-RO"/>
              </w:rPr>
            </w:pPr>
          </w:p>
          <w:p w14:paraId="4BE91509" w14:textId="6423A537" w:rsidR="00A34B21" w:rsidRDefault="00A34B21" w:rsidP="005C60F9">
            <w:pPr>
              <w:autoSpaceDE w:val="0"/>
              <w:autoSpaceDN w:val="0"/>
              <w:adjustRightInd w:val="0"/>
              <w:spacing w:after="0" w:line="240" w:lineRule="auto"/>
              <w:jc w:val="both"/>
              <w:rPr>
                <w:sz w:val="26"/>
                <w:szCs w:val="26"/>
                <w:lang w:val="ro-RO"/>
              </w:rPr>
            </w:pPr>
            <w:r w:rsidRPr="00A34B21">
              <w:rPr>
                <w:sz w:val="26"/>
                <w:szCs w:val="26"/>
                <w:lang w:val="ro-RO"/>
              </w:rPr>
              <w:t xml:space="preserve">Propunem includerea în lista de excepții a serviciilor publice de salvare montană, agențiile dezvoltare județeană sau locală, direcțiile județene de evidența persoanelor, acestea fiind instituții esențiale care asigură servicii publice de </w:t>
            </w:r>
            <w:r w:rsidRPr="00A34B21">
              <w:rPr>
                <w:sz w:val="26"/>
                <w:szCs w:val="26"/>
                <w:lang w:val="ro-RO"/>
              </w:rPr>
              <w:lastRenderedPageBreak/>
              <w:t>interes public și a căror funcționare ar fi imposibilă fără asigurare personalului necesar pentru desfășurarea activității.</w:t>
            </w:r>
          </w:p>
          <w:p w14:paraId="7DD8362E" w14:textId="099EB261" w:rsidR="00A34B21" w:rsidRPr="00A34B21" w:rsidRDefault="00A34B21" w:rsidP="00A34B21">
            <w:pPr>
              <w:autoSpaceDE w:val="0"/>
              <w:autoSpaceDN w:val="0"/>
              <w:adjustRightInd w:val="0"/>
              <w:spacing w:after="0" w:line="240" w:lineRule="auto"/>
              <w:jc w:val="both"/>
              <w:rPr>
                <w:sz w:val="26"/>
                <w:szCs w:val="26"/>
                <w:lang w:val="ro-RO"/>
              </w:rPr>
            </w:pPr>
          </w:p>
          <w:p w14:paraId="6AA36DB5" w14:textId="422FA5A0" w:rsidR="00A34B21" w:rsidRPr="00A34B21" w:rsidRDefault="00A34B21" w:rsidP="00A34B21">
            <w:pPr>
              <w:autoSpaceDE w:val="0"/>
              <w:autoSpaceDN w:val="0"/>
              <w:adjustRightInd w:val="0"/>
              <w:spacing w:after="0" w:line="240" w:lineRule="auto"/>
              <w:jc w:val="both"/>
              <w:rPr>
                <w:sz w:val="26"/>
                <w:szCs w:val="26"/>
                <w:lang w:val="ro-RO"/>
              </w:rPr>
            </w:pPr>
            <w:r w:rsidRPr="00A34B21">
              <w:rPr>
                <w:sz w:val="26"/>
                <w:szCs w:val="26"/>
                <w:lang w:val="ro-RO"/>
              </w:rPr>
              <w:t>Se propune completarea listei de excepții cu următoarele domenii cheie: posturile vacante din cadrul structurilor organizatorice din domeniile: digitalizării, informaticii, achiziții publice, unitățile centralizate de achiziție publică, structurile responsabile de implementarea proiectelor finanțate din fonduri europene nerambursabile și/sau prin Mecanismul de redresare și reziliență, venit, colectare creanțe bugetare, buget și urbanism.</w:t>
            </w:r>
          </w:p>
          <w:p w14:paraId="26397BBB" w14:textId="1AB4A148" w:rsidR="00A34B21" w:rsidRDefault="00A34B21" w:rsidP="00A34B21">
            <w:pPr>
              <w:autoSpaceDE w:val="0"/>
              <w:autoSpaceDN w:val="0"/>
              <w:adjustRightInd w:val="0"/>
              <w:spacing w:after="0" w:line="240" w:lineRule="auto"/>
              <w:jc w:val="both"/>
              <w:rPr>
                <w:sz w:val="26"/>
                <w:szCs w:val="26"/>
                <w:lang w:val="ro-RO"/>
              </w:rPr>
            </w:pPr>
            <w:r w:rsidRPr="00A34B21">
              <w:rPr>
                <w:sz w:val="26"/>
                <w:szCs w:val="26"/>
                <w:lang w:val="ro-RO"/>
              </w:rPr>
              <w:t>În cazul acestor domenii instituțiile publice locale și în momentul de față se confruntă cu o lipsă de personal și fără posibilitatea de a angaja în aceste domenii, instituțiile vor fi puse în imposibilitatea de a-și exercita atribuțiile de bază sau a îndeplini angajamentele privind implementarea unor proiecte de interes public, local și național.</w:t>
            </w:r>
          </w:p>
          <w:p w14:paraId="0EF38D51" w14:textId="0B97F25C" w:rsidR="00660ED6" w:rsidRPr="005C60F9" w:rsidRDefault="00DD6C48" w:rsidP="00DD6C48">
            <w:pPr>
              <w:autoSpaceDE w:val="0"/>
              <w:autoSpaceDN w:val="0"/>
              <w:adjustRightInd w:val="0"/>
              <w:spacing w:after="0" w:line="240" w:lineRule="auto"/>
              <w:jc w:val="both"/>
              <w:rPr>
                <w:sz w:val="26"/>
                <w:szCs w:val="26"/>
                <w:lang w:val="ro-RO"/>
              </w:rPr>
            </w:pPr>
            <w:r>
              <w:rPr>
                <w:sz w:val="26"/>
                <w:szCs w:val="26"/>
                <w:lang w:val="ro-RO"/>
              </w:rPr>
              <w:t xml:space="preserve">A crescut </w:t>
            </w:r>
            <w:r w:rsidR="005C60F9" w:rsidRPr="005C60F9">
              <w:rPr>
                <w:sz w:val="26"/>
                <w:szCs w:val="26"/>
                <w:lang w:val="ro-RO"/>
              </w:rPr>
              <w:t xml:space="preserve">semnificativ  </w:t>
            </w:r>
            <w:r w:rsidR="005C60F9" w:rsidRPr="005C60F9">
              <w:rPr>
                <w:sz w:val="26"/>
                <w:szCs w:val="26"/>
                <w:lang w:val="ro-RO"/>
              </w:rPr>
              <w:lastRenderedPageBreak/>
              <w:t>volumul de muncă al Unității Centralizate de Achiziții Publice constituite la nivelul Consiliului Județean Harghita, prin aderarea altor Instituții și Autorități Publice. Acest lucru constă în preluarea achizițiilor acestora de către UCA Harghita. Desfășurarea activității Unității Centralizate de Achiziții Publice poate fi realizată numai prin creșterea numărului de personal, în funcție de volumul aderărilor Instituțiilor și Autorităților Publice. Activitatea Unității Centralizate nu poate fi eficientă dacă există lipsă de personal.</w:t>
            </w:r>
            <w:r w:rsidR="004C2975" w:rsidRPr="005C60F9">
              <w:rPr>
                <w:sz w:val="26"/>
                <w:szCs w:val="26"/>
                <w:lang w:val="ro-RO"/>
              </w:rPr>
              <w:t xml:space="preserve"> </w:t>
            </w:r>
          </w:p>
        </w:tc>
      </w:tr>
      <w:tr w:rsidR="002A3AB5" w:rsidRPr="008C03CE" w14:paraId="426DB63F"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E62B287" w14:textId="24D2351E" w:rsidR="00395E50" w:rsidRPr="00395E50" w:rsidRDefault="00395E50" w:rsidP="005C60F9">
            <w:pPr>
              <w:spacing w:after="0" w:line="240" w:lineRule="auto"/>
              <w:ind w:firstLine="709"/>
              <w:jc w:val="both"/>
              <w:rPr>
                <w:rFonts w:ascii="Trebuchet MS" w:hAnsi="Trebuchet MS"/>
                <w:sz w:val="24"/>
                <w:szCs w:val="24"/>
                <w:lang w:val="ro-RO"/>
              </w:rPr>
            </w:pPr>
            <w:r w:rsidRPr="00395E50">
              <w:rPr>
                <w:rFonts w:ascii="Trebuchet MS" w:hAnsi="Trebuchet MS"/>
                <w:b/>
                <w:sz w:val="24"/>
                <w:szCs w:val="24"/>
                <w:lang w:val="ro-RO"/>
              </w:rPr>
              <w:lastRenderedPageBreak/>
              <w:t xml:space="preserve">Art. </w:t>
            </w:r>
            <w:r w:rsidR="004B2285">
              <w:rPr>
                <w:rFonts w:ascii="Trebuchet MS" w:hAnsi="Trebuchet MS"/>
                <w:b/>
                <w:sz w:val="24"/>
                <w:szCs w:val="24"/>
                <w:lang w:val="ro-RO"/>
              </w:rPr>
              <w:t>XX, alin (2)</w:t>
            </w:r>
          </w:p>
          <w:p w14:paraId="2B67DD87" w14:textId="2490E8ED" w:rsidR="00395E50" w:rsidRPr="00395E50" w:rsidRDefault="00395E50" w:rsidP="005C60F9">
            <w:pPr>
              <w:spacing w:after="0" w:line="240" w:lineRule="auto"/>
              <w:jc w:val="both"/>
              <w:rPr>
                <w:rFonts w:ascii="Trebuchet MS" w:hAnsi="Trebuchet MS"/>
                <w:sz w:val="24"/>
                <w:szCs w:val="24"/>
                <w:lang w:val="ro-RO"/>
              </w:rPr>
            </w:pPr>
            <w:r w:rsidRPr="00395E50">
              <w:rPr>
                <w:rFonts w:ascii="Trebuchet MS" w:hAnsi="Trebuchet MS"/>
                <w:b/>
                <w:sz w:val="24"/>
                <w:szCs w:val="24"/>
                <w:lang w:val="ro-RO"/>
              </w:rPr>
              <w:t>(</w:t>
            </w:r>
            <w:r w:rsidR="004B2285">
              <w:rPr>
                <w:rFonts w:ascii="Trebuchet MS" w:hAnsi="Trebuchet MS"/>
                <w:b/>
                <w:sz w:val="24"/>
                <w:szCs w:val="24"/>
                <w:lang w:val="ro-RO"/>
              </w:rPr>
              <w:t>2</w:t>
            </w:r>
            <w:r w:rsidRPr="00395E50">
              <w:rPr>
                <w:rFonts w:ascii="Trebuchet MS" w:hAnsi="Trebuchet MS"/>
                <w:b/>
                <w:sz w:val="24"/>
                <w:szCs w:val="24"/>
                <w:lang w:val="ro-RO"/>
              </w:rPr>
              <w:t>)</w:t>
            </w:r>
            <w:r w:rsidRPr="00395E50">
              <w:rPr>
                <w:rFonts w:ascii="Trebuchet MS" w:hAnsi="Trebuchet MS"/>
                <w:sz w:val="24"/>
                <w:szCs w:val="24"/>
                <w:lang w:val="ro-RO"/>
              </w:rPr>
              <w:t xml:space="preserve"> Structura organizatorică a autorităților și instituțiilor publice trebuie să respecte următoarele cerințe:</w:t>
            </w:r>
          </w:p>
          <w:p w14:paraId="4AAA60E1" w14:textId="77777777" w:rsidR="00395E50" w:rsidRPr="00395E50" w:rsidRDefault="00395E50" w:rsidP="005C60F9">
            <w:pPr>
              <w:spacing w:after="0" w:line="240" w:lineRule="auto"/>
              <w:jc w:val="both"/>
              <w:rPr>
                <w:rFonts w:ascii="Trebuchet MS" w:hAnsi="Trebuchet MS"/>
                <w:sz w:val="24"/>
                <w:szCs w:val="24"/>
                <w:lang w:val="ro-RO"/>
              </w:rPr>
            </w:pPr>
            <w:r w:rsidRPr="00395E50">
              <w:rPr>
                <w:rFonts w:ascii="Trebuchet MS" w:hAnsi="Trebuchet MS"/>
                <w:b/>
                <w:sz w:val="24"/>
                <w:szCs w:val="24"/>
                <w:lang w:val="ro-RO"/>
              </w:rPr>
              <w:t>a)</w:t>
            </w:r>
            <w:r w:rsidRPr="00395E50">
              <w:rPr>
                <w:rFonts w:ascii="Trebuchet MS" w:hAnsi="Trebuchet MS"/>
                <w:sz w:val="24"/>
                <w:szCs w:val="24"/>
                <w:lang w:val="ro-RO"/>
              </w:rPr>
              <w:t xml:space="preserve"> pentru constituirea unui serviciu este necesar un număr de minimum 10 posturi de execuție;</w:t>
            </w:r>
          </w:p>
          <w:p w14:paraId="0553739B" w14:textId="77777777" w:rsidR="00395E50" w:rsidRPr="00395E50" w:rsidRDefault="00395E50" w:rsidP="005C60F9">
            <w:pPr>
              <w:spacing w:after="0" w:line="240" w:lineRule="auto"/>
              <w:jc w:val="both"/>
              <w:rPr>
                <w:rFonts w:ascii="Trebuchet MS" w:hAnsi="Trebuchet MS"/>
                <w:sz w:val="24"/>
                <w:szCs w:val="24"/>
                <w:lang w:val="ro-RO"/>
              </w:rPr>
            </w:pPr>
            <w:r w:rsidRPr="00395E50">
              <w:rPr>
                <w:rFonts w:ascii="Trebuchet MS" w:hAnsi="Trebuchet MS"/>
                <w:b/>
                <w:sz w:val="24"/>
                <w:szCs w:val="24"/>
                <w:lang w:val="ro-RO"/>
              </w:rPr>
              <w:t>b)</w:t>
            </w:r>
            <w:r w:rsidRPr="00395E50">
              <w:rPr>
                <w:rFonts w:ascii="Trebuchet MS" w:hAnsi="Trebuchet MS"/>
                <w:sz w:val="24"/>
                <w:szCs w:val="24"/>
                <w:lang w:val="ro-RO"/>
              </w:rPr>
              <w:t xml:space="preserve"> pentru constituirea unei direcții este necesar un număr de minimum 20 posturi de execuție;</w:t>
            </w:r>
          </w:p>
          <w:p w14:paraId="678EC3B5" w14:textId="56A34535" w:rsidR="002A3AB5" w:rsidRPr="00A34B21" w:rsidRDefault="00A34B21" w:rsidP="004B2285">
            <w:pPr>
              <w:spacing w:after="0" w:line="240" w:lineRule="auto"/>
              <w:jc w:val="both"/>
              <w:rPr>
                <w:sz w:val="26"/>
                <w:szCs w:val="26"/>
                <w:lang w:val="ro-RO"/>
              </w:rPr>
            </w:pPr>
            <w:r w:rsidRPr="00A34B21">
              <w:rPr>
                <w:sz w:val="26"/>
                <w:szCs w:val="26"/>
                <w:lang w:val="ro-RO"/>
              </w:rPr>
              <w:t xml:space="preserve">c) pentru constituirea unei direcții generale este necesar un număr de minimum </w:t>
            </w:r>
            <w:r w:rsidR="004B2285">
              <w:rPr>
                <w:sz w:val="26"/>
                <w:szCs w:val="26"/>
                <w:lang w:val="ro-RO"/>
              </w:rPr>
              <w:t>35</w:t>
            </w:r>
            <w:r w:rsidRPr="00A34B21">
              <w:rPr>
                <w:sz w:val="26"/>
                <w:szCs w:val="26"/>
                <w:lang w:val="ro-RO"/>
              </w:rPr>
              <w:t xml:space="preserve"> de posturi de execuție.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E864FB0" w14:textId="77777777" w:rsidR="004B2285" w:rsidRPr="00395E50" w:rsidRDefault="004B2285" w:rsidP="004B2285">
            <w:pPr>
              <w:spacing w:after="0" w:line="240" w:lineRule="auto"/>
              <w:ind w:firstLine="709"/>
              <w:jc w:val="both"/>
              <w:rPr>
                <w:rFonts w:ascii="Trebuchet MS" w:hAnsi="Trebuchet MS"/>
                <w:sz w:val="24"/>
                <w:szCs w:val="24"/>
                <w:lang w:val="ro-RO"/>
              </w:rPr>
            </w:pPr>
            <w:r w:rsidRPr="00395E50">
              <w:rPr>
                <w:rFonts w:ascii="Trebuchet MS" w:hAnsi="Trebuchet MS"/>
                <w:b/>
                <w:sz w:val="24"/>
                <w:szCs w:val="24"/>
                <w:lang w:val="ro-RO"/>
              </w:rPr>
              <w:t xml:space="preserve">Art. </w:t>
            </w:r>
            <w:r>
              <w:rPr>
                <w:rFonts w:ascii="Trebuchet MS" w:hAnsi="Trebuchet MS"/>
                <w:b/>
                <w:sz w:val="24"/>
                <w:szCs w:val="24"/>
                <w:lang w:val="ro-RO"/>
              </w:rPr>
              <w:t>XX, alin (2)</w:t>
            </w:r>
          </w:p>
          <w:p w14:paraId="71ABE0C9" w14:textId="77777777" w:rsidR="004B2285" w:rsidRPr="00395E50" w:rsidRDefault="004B2285" w:rsidP="004B2285">
            <w:pPr>
              <w:spacing w:after="0" w:line="240" w:lineRule="auto"/>
              <w:jc w:val="both"/>
              <w:rPr>
                <w:rFonts w:ascii="Trebuchet MS" w:hAnsi="Trebuchet MS"/>
                <w:sz w:val="24"/>
                <w:szCs w:val="24"/>
                <w:lang w:val="ro-RO"/>
              </w:rPr>
            </w:pPr>
            <w:r w:rsidRPr="00395E50">
              <w:rPr>
                <w:rFonts w:ascii="Trebuchet MS" w:hAnsi="Trebuchet MS"/>
                <w:b/>
                <w:sz w:val="24"/>
                <w:szCs w:val="24"/>
                <w:lang w:val="ro-RO"/>
              </w:rPr>
              <w:t>(</w:t>
            </w:r>
            <w:r>
              <w:rPr>
                <w:rFonts w:ascii="Trebuchet MS" w:hAnsi="Trebuchet MS"/>
                <w:b/>
                <w:sz w:val="24"/>
                <w:szCs w:val="24"/>
                <w:lang w:val="ro-RO"/>
              </w:rPr>
              <w:t>2</w:t>
            </w:r>
            <w:r w:rsidRPr="00395E50">
              <w:rPr>
                <w:rFonts w:ascii="Trebuchet MS" w:hAnsi="Trebuchet MS"/>
                <w:b/>
                <w:sz w:val="24"/>
                <w:szCs w:val="24"/>
                <w:lang w:val="ro-RO"/>
              </w:rPr>
              <w:t>)</w:t>
            </w:r>
            <w:r w:rsidRPr="00395E50">
              <w:rPr>
                <w:rFonts w:ascii="Trebuchet MS" w:hAnsi="Trebuchet MS"/>
                <w:sz w:val="24"/>
                <w:szCs w:val="24"/>
                <w:lang w:val="ro-RO"/>
              </w:rPr>
              <w:t xml:space="preserve"> Structura organizatorică a autorităților și instituțiilor publice trebuie să respecte următoarele cerințe:</w:t>
            </w:r>
          </w:p>
          <w:p w14:paraId="69DB74A8" w14:textId="2DAB6DB5" w:rsidR="004B2285" w:rsidRPr="00395E50" w:rsidRDefault="004B2285" w:rsidP="004B2285">
            <w:pPr>
              <w:spacing w:after="0" w:line="240" w:lineRule="auto"/>
              <w:jc w:val="both"/>
              <w:rPr>
                <w:rFonts w:ascii="Trebuchet MS" w:hAnsi="Trebuchet MS"/>
                <w:sz w:val="24"/>
                <w:szCs w:val="24"/>
                <w:lang w:val="ro-RO"/>
              </w:rPr>
            </w:pPr>
            <w:r w:rsidRPr="00395E50">
              <w:rPr>
                <w:rFonts w:ascii="Trebuchet MS" w:hAnsi="Trebuchet MS"/>
                <w:b/>
                <w:sz w:val="24"/>
                <w:szCs w:val="24"/>
                <w:lang w:val="ro-RO"/>
              </w:rPr>
              <w:t>a)</w:t>
            </w:r>
            <w:r w:rsidRPr="00395E50">
              <w:rPr>
                <w:rFonts w:ascii="Trebuchet MS" w:hAnsi="Trebuchet MS"/>
                <w:sz w:val="24"/>
                <w:szCs w:val="24"/>
                <w:lang w:val="ro-RO"/>
              </w:rPr>
              <w:t xml:space="preserve"> pentru constituirea unui serviciu este necesar un număr de minimum </w:t>
            </w:r>
            <w:r w:rsidRPr="004B2285">
              <w:rPr>
                <w:rFonts w:ascii="Trebuchet MS" w:hAnsi="Trebuchet MS"/>
                <w:b/>
                <w:color w:val="FF0000"/>
                <w:sz w:val="24"/>
                <w:szCs w:val="24"/>
                <w:lang w:val="ro-RO"/>
              </w:rPr>
              <w:t>9</w:t>
            </w:r>
            <w:r w:rsidRPr="00395E50">
              <w:rPr>
                <w:rFonts w:ascii="Trebuchet MS" w:hAnsi="Trebuchet MS"/>
                <w:sz w:val="24"/>
                <w:szCs w:val="24"/>
                <w:lang w:val="ro-RO"/>
              </w:rPr>
              <w:t xml:space="preserve"> posturi de execuție;</w:t>
            </w:r>
          </w:p>
          <w:p w14:paraId="231731C4" w14:textId="0133A7A1" w:rsidR="004B2285" w:rsidRPr="00395E50" w:rsidRDefault="004B2285" w:rsidP="004B2285">
            <w:pPr>
              <w:spacing w:after="0" w:line="240" w:lineRule="auto"/>
              <w:jc w:val="both"/>
              <w:rPr>
                <w:rFonts w:ascii="Trebuchet MS" w:hAnsi="Trebuchet MS"/>
                <w:sz w:val="24"/>
                <w:szCs w:val="24"/>
                <w:lang w:val="ro-RO"/>
              </w:rPr>
            </w:pPr>
            <w:r w:rsidRPr="00395E50">
              <w:rPr>
                <w:rFonts w:ascii="Trebuchet MS" w:hAnsi="Trebuchet MS"/>
                <w:b/>
                <w:sz w:val="24"/>
                <w:szCs w:val="24"/>
                <w:lang w:val="ro-RO"/>
              </w:rPr>
              <w:t>b)</w:t>
            </w:r>
            <w:r w:rsidRPr="00395E50">
              <w:rPr>
                <w:rFonts w:ascii="Trebuchet MS" w:hAnsi="Trebuchet MS"/>
                <w:sz w:val="24"/>
                <w:szCs w:val="24"/>
                <w:lang w:val="ro-RO"/>
              </w:rPr>
              <w:t xml:space="preserve"> pentru constituirea unei direcții este necesar un număr de minimum </w:t>
            </w:r>
            <w:r w:rsidRPr="004B2285">
              <w:rPr>
                <w:rFonts w:ascii="Trebuchet MS" w:hAnsi="Trebuchet MS"/>
                <w:b/>
                <w:color w:val="FF0000"/>
                <w:sz w:val="24"/>
                <w:szCs w:val="24"/>
                <w:lang w:val="ro-RO"/>
              </w:rPr>
              <w:t>18</w:t>
            </w:r>
            <w:r w:rsidRPr="00395E50">
              <w:rPr>
                <w:rFonts w:ascii="Trebuchet MS" w:hAnsi="Trebuchet MS"/>
                <w:sz w:val="24"/>
                <w:szCs w:val="24"/>
                <w:lang w:val="ro-RO"/>
              </w:rPr>
              <w:t xml:space="preserve"> posturi de execuție;</w:t>
            </w:r>
          </w:p>
          <w:p w14:paraId="6AF6D4C9" w14:textId="1AB5274E" w:rsidR="00A34B21" w:rsidRPr="00395E50" w:rsidRDefault="004B2285" w:rsidP="004B2285">
            <w:pPr>
              <w:spacing w:after="0" w:line="240" w:lineRule="auto"/>
              <w:jc w:val="both"/>
              <w:rPr>
                <w:rFonts w:ascii="Trebuchet MS" w:hAnsi="Trebuchet MS"/>
                <w:sz w:val="24"/>
                <w:szCs w:val="24"/>
                <w:lang w:val="ro-RO"/>
              </w:rPr>
            </w:pPr>
            <w:r w:rsidRPr="00A34B21">
              <w:rPr>
                <w:sz w:val="26"/>
                <w:szCs w:val="26"/>
                <w:lang w:val="ro-RO"/>
              </w:rPr>
              <w:t xml:space="preserve">c) pentru constituirea unei direcții generale este necesar un număr de minimum </w:t>
            </w:r>
            <w:r w:rsidRPr="004B2285">
              <w:rPr>
                <w:b/>
                <w:color w:val="FF0000"/>
                <w:sz w:val="26"/>
                <w:szCs w:val="26"/>
                <w:lang w:val="ro-RO"/>
              </w:rPr>
              <w:t>30</w:t>
            </w:r>
            <w:r w:rsidRPr="00A34B21">
              <w:rPr>
                <w:sz w:val="26"/>
                <w:szCs w:val="26"/>
                <w:lang w:val="ro-RO"/>
              </w:rPr>
              <w:t xml:space="preserve"> de posturi de execuție</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1A4E21A7" w14:textId="411EB0D5" w:rsidR="00F14911" w:rsidRPr="008B0F4D" w:rsidRDefault="00C07969" w:rsidP="005C60F9">
            <w:pPr>
              <w:autoSpaceDE w:val="0"/>
              <w:autoSpaceDN w:val="0"/>
              <w:adjustRightInd w:val="0"/>
              <w:spacing w:after="0" w:line="240" w:lineRule="auto"/>
              <w:jc w:val="both"/>
              <w:rPr>
                <w:sz w:val="26"/>
                <w:szCs w:val="26"/>
                <w:lang w:val="ro-RO"/>
              </w:rPr>
            </w:pPr>
            <w:r w:rsidRPr="00C07969">
              <w:rPr>
                <w:sz w:val="26"/>
                <w:szCs w:val="26"/>
                <w:lang w:val="ro-RO"/>
              </w:rPr>
              <w:t>Se propune modificarea numărului minim de posturi de execuție pentru structurile organizatorice, având în vedere că din punct de vedere al managementului, fără personal de conducere de nivel mediu structurile ar putea ajunge în imposibilitate de funcționare</w:t>
            </w:r>
          </w:p>
        </w:tc>
      </w:tr>
      <w:tr w:rsidR="00BC13CA" w:rsidRPr="008C03CE" w14:paraId="669579B8"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50CB3AAC" w14:textId="77777777" w:rsidR="004B2285" w:rsidRDefault="00395E50" w:rsidP="005C60F9">
            <w:pPr>
              <w:tabs>
                <w:tab w:val="left" w:pos="0"/>
                <w:tab w:val="left" w:pos="709"/>
              </w:tabs>
              <w:autoSpaceDE w:val="0"/>
              <w:spacing w:after="0" w:line="240" w:lineRule="auto"/>
              <w:jc w:val="both"/>
              <w:rPr>
                <w:sz w:val="26"/>
                <w:szCs w:val="26"/>
                <w:lang w:val="ro-RO"/>
              </w:rPr>
            </w:pPr>
            <w:r w:rsidRPr="00395E50">
              <w:rPr>
                <w:sz w:val="26"/>
                <w:szCs w:val="26"/>
                <w:lang w:val="ro-RO"/>
              </w:rPr>
              <w:t>Art</w:t>
            </w:r>
            <w:r>
              <w:rPr>
                <w:sz w:val="26"/>
                <w:szCs w:val="26"/>
                <w:lang w:val="ro-RO"/>
              </w:rPr>
              <w:t>.</w:t>
            </w:r>
            <w:r w:rsidRPr="00395E50">
              <w:rPr>
                <w:sz w:val="26"/>
                <w:szCs w:val="26"/>
                <w:lang w:val="ro-RO"/>
              </w:rPr>
              <w:t xml:space="preserve"> X</w:t>
            </w:r>
            <w:r w:rsidR="004B2285">
              <w:rPr>
                <w:sz w:val="26"/>
                <w:szCs w:val="26"/>
                <w:lang w:val="ro-RO"/>
              </w:rPr>
              <w:t>XIV</w:t>
            </w:r>
            <w:r w:rsidRPr="00395E50">
              <w:rPr>
                <w:sz w:val="26"/>
                <w:szCs w:val="26"/>
                <w:lang w:val="ro-RO"/>
              </w:rPr>
              <w:t xml:space="preserve"> </w:t>
            </w:r>
          </w:p>
          <w:p w14:paraId="76DA93D9" w14:textId="1F88F843" w:rsidR="00DA1C00" w:rsidRPr="00395E50" w:rsidRDefault="004B2285" w:rsidP="004B2285">
            <w:pPr>
              <w:tabs>
                <w:tab w:val="left" w:pos="0"/>
                <w:tab w:val="left" w:pos="709"/>
              </w:tabs>
              <w:autoSpaceDE w:val="0"/>
              <w:spacing w:after="0" w:line="240" w:lineRule="auto"/>
              <w:jc w:val="both"/>
              <w:rPr>
                <w:sz w:val="26"/>
                <w:szCs w:val="26"/>
                <w:lang w:val="ro-RO"/>
              </w:rPr>
            </w:pPr>
            <w:r w:rsidRPr="004B2285">
              <w:rPr>
                <w:sz w:val="26"/>
                <w:szCs w:val="26"/>
                <w:lang w:val="ro-RO"/>
              </w:rPr>
              <w:lastRenderedPageBreak/>
              <w:t>2) Instituțiile publice, astfel cum sunt definite la art. 2 alin. (1) pct. 30 din Legea nr. 500/2002 privind finanțele publice, cu modificările și completările ulterioare, și la art. 2 alin. (1) pct. 39 din Legea nr. 273/2006 privind finanțele publice locale, cu modificările și completările ulterioare, indiferent de sistemul de finanțare și de subordonare, inclusiv activitățile finanțate integral din venituri proprii, înființate pe lângă instituțiile publice, acordă, anual vouchere de vacanță în cuantum de 1.600 lei, în perioada 1 ianuarie 2024 -31 decembrie 2026, personalului ale căror salarii nete lunare de încadrare sunt de pană la 8.000 lei.;</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EDB3635" w14:textId="77777777" w:rsidR="004B2285" w:rsidRDefault="00395E50" w:rsidP="005C60F9">
            <w:pPr>
              <w:tabs>
                <w:tab w:val="left" w:pos="0"/>
                <w:tab w:val="left" w:pos="709"/>
              </w:tabs>
              <w:autoSpaceDE w:val="0"/>
              <w:spacing w:after="0" w:line="240" w:lineRule="auto"/>
              <w:jc w:val="both"/>
              <w:rPr>
                <w:sz w:val="26"/>
                <w:szCs w:val="26"/>
                <w:lang w:val="ro-RO"/>
              </w:rPr>
            </w:pPr>
            <w:r w:rsidRPr="00395E50">
              <w:rPr>
                <w:sz w:val="26"/>
                <w:szCs w:val="26"/>
                <w:lang w:val="ro-RO"/>
              </w:rPr>
              <w:lastRenderedPageBreak/>
              <w:t>Art</w:t>
            </w:r>
            <w:r>
              <w:rPr>
                <w:sz w:val="26"/>
                <w:szCs w:val="26"/>
                <w:lang w:val="ro-RO"/>
              </w:rPr>
              <w:t>.</w:t>
            </w:r>
            <w:r w:rsidRPr="00395E50">
              <w:rPr>
                <w:sz w:val="26"/>
                <w:szCs w:val="26"/>
                <w:lang w:val="ro-RO"/>
              </w:rPr>
              <w:t xml:space="preserve"> </w:t>
            </w:r>
            <w:r w:rsidR="004B2285">
              <w:rPr>
                <w:sz w:val="26"/>
                <w:szCs w:val="26"/>
                <w:lang w:val="ro-RO"/>
              </w:rPr>
              <w:t>X</w:t>
            </w:r>
            <w:r w:rsidRPr="00395E50">
              <w:rPr>
                <w:sz w:val="26"/>
                <w:szCs w:val="26"/>
                <w:lang w:val="ro-RO"/>
              </w:rPr>
              <w:t>XI</w:t>
            </w:r>
            <w:r w:rsidR="004B2285">
              <w:rPr>
                <w:sz w:val="26"/>
                <w:szCs w:val="26"/>
                <w:lang w:val="ro-RO"/>
              </w:rPr>
              <w:t>V</w:t>
            </w:r>
          </w:p>
          <w:p w14:paraId="4A254F16" w14:textId="77777777" w:rsidR="00826498" w:rsidRDefault="00395E50" w:rsidP="004B2285">
            <w:pPr>
              <w:tabs>
                <w:tab w:val="left" w:pos="0"/>
                <w:tab w:val="left" w:pos="709"/>
              </w:tabs>
              <w:autoSpaceDE w:val="0"/>
              <w:spacing w:after="0" w:line="240" w:lineRule="auto"/>
              <w:jc w:val="both"/>
              <w:rPr>
                <w:sz w:val="26"/>
                <w:szCs w:val="26"/>
                <w:lang w:val="ro-RO"/>
              </w:rPr>
            </w:pPr>
            <w:r w:rsidRPr="00395E50">
              <w:rPr>
                <w:sz w:val="26"/>
                <w:szCs w:val="26"/>
                <w:lang w:val="ro-RO"/>
              </w:rPr>
              <w:lastRenderedPageBreak/>
              <w:t>(2)</w:t>
            </w:r>
            <w:r w:rsidR="004B2285">
              <w:rPr>
                <w:sz w:val="26"/>
                <w:szCs w:val="26"/>
                <w:lang w:val="ro-RO"/>
              </w:rPr>
              <w:t xml:space="preserve"> </w:t>
            </w:r>
            <w:r w:rsidR="004B2285" w:rsidRPr="004B2285">
              <w:rPr>
                <w:sz w:val="26"/>
                <w:szCs w:val="26"/>
                <w:lang w:val="ro-RO"/>
              </w:rPr>
              <w:t>Instituțiile publice, astfel cum sunt definite la art. 2 alin. (1) pct. 30 din Legea nr. 500/2002 privind finanțele publice, cu modificările și completările ulterioare, și la art. 2 alin. (1) pct. 39 din Legea nr. 273/2006 privind finanțele publice locale, cu modificările și completările ulterioare, indiferent de sistemul de finanțare și de subordonare, inclusiv activitățile finanțate integral din venituri proprii, înființate pe lângă instituțiile publice, acordă, anual vouchere de vacanță în cuantum de 1.600 lei, în perioada 1 ianuarie 2024 -31 decembrie</w:t>
            </w:r>
            <w:r w:rsidR="004B2285">
              <w:rPr>
                <w:sz w:val="26"/>
                <w:szCs w:val="26"/>
                <w:lang w:val="ro-RO"/>
              </w:rPr>
              <w:t xml:space="preserve"> </w:t>
            </w:r>
            <w:r w:rsidR="004B2285" w:rsidRPr="004B2285">
              <w:rPr>
                <w:sz w:val="26"/>
                <w:szCs w:val="26"/>
                <w:lang w:val="ro-RO"/>
              </w:rPr>
              <w:t>2026.;</w:t>
            </w:r>
          </w:p>
          <w:p w14:paraId="3A66F660" w14:textId="0C260F6B" w:rsidR="003077B9" w:rsidRPr="003077B9" w:rsidRDefault="003077B9" w:rsidP="003077B9">
            <w:pPr>
              <w:tabs>
                <w:tab w:val="left" w:pos="0"/>
                <w:tab w:val="left" w:pos="709"/>
              </w:tabs>
              <w:autoSpaceDE w:val="0"/>
              <w:spacing w:after="0" w:line="240" w:lineRule="auto"/>
              <w:jc w:val="both"/>
              <w:rPr>
                <w:b/>
                <w:sz w:val="26"/>
                <w:szCs w:val="26"/>
                <w:lang w:val="ro-RO"/>
              </w:rPr>
            </w:pPr>
            <w:r w:rsidRPr="003077B9">
              <w:rPr>
                <w:b/>
                <w:color w:val="FF0000"/>
                <w:sz w:val="26"/>
                <w:szCs w:val="26"/>
                <w:lang w:val="ro-RO"/>
              </w:rPr>
              <w:t xml:space="preserve">Eliminarea pragului </w:t>
            </w:r>
            <w:r>
              <w:rPr>
                <w:b/>
                <w:color w:val="FF0000"/>
                <w:sz w:val="26"/>
                <w:szCs w:val="26"/>
                <w:lang w:val="ro-RO"/>
              </w:rPr>
              <w:t xml:space="preserve">de 8.000 lei a </w:t>
            </w:r>
            <w:r w:rsidRPr="003077B9">
              <w:rPr>
                <w:b/>
                <w:color w:val="FF0000"/>
                <w:sz w:val="26"/>
                <w:szCs w:val="26"/>
                <w:lang w:val="ro-RO"/>
              </w:rPr>
              <w:t>salariului net</w:t>
            </w:r>
            <w:r>
              <w:rPr>
                <w:b/>
                <w:color w:val="FF0000"/>
                <w:sz w:val="26"/>
                <w:szCs w:val="26"/>
                <w:lang w:val="ro-RO"/>
              </w:rPr>
              <w:t xml:space="preserve"> lunar</w:t>
            </w:r>
            <w:r w:rsidRPr="003077B9">
              <w:rPr>
                <w:b/>
                <w:color w:val="FF0000"/>
                <w:sz w:val="26"/>
                <w:szCs w:val="26"/>
                <w:lang w:val="ro-RO"/>
              </w:rPr>
              <w:t>.</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1B06952C" w14:textId="4347E2AE" w:rsidR="00BC13CA" w:rsidRPr="00826498" w:rsidRDefault="00211736" w:rsidP="005C60F9">
            <w:pPr>
              <w:autoSpaceDE w:val="0"/>
              <w:autoSpaceDN w:val="0"/>
              <w:adjustRightInd w:val="0"/>
              <w:spacing w:after="0" w:line="240" w:lineRule="auto"/>
              <w:jc w:val="both"/>
              <w:rPr>
                <w:sz w:val="26"/>
                <w:szCs w:val="26"/>
                <w:lang w:val="ro-RO"/>
              </w:rPr>
            </w:pPr>
            <w:r w:rsidRPr="008B0F4D">
              <w:rPr>
                <w:sz w:val="26"/>
                <w:szCs w:val="26"/>
                <w:lang w:val="ro-RO"/>
              </w:rPr>
              <w:lastRenderedPageBreak/>
              <w:t xml:space="preserve">Creșterea prețurilor la </w:t>
            </w:r>
            <w:r w:rsidRPr="008B0F4D">
              <w:rPr>
                <w:sz w:val="26"/>
                <w:szCs w:val="26"/>
                <w:lang w:val="ro-RO"/>
              </w:rPr>
              <w:lastRenderedPageBreak/>
              <w:t>produsele de bază din coșul zilnic și la serviciile de utilități cu peste 25-30%</w:t>
            </w:r>
            <w:r>
              <w:rPr>
                <w:sz w:val="26"/>
                <w:szCs w:val="26"/>
                <w:lang w:val="ro-RO"/>
              </w:rPr>
              <w:t xml:space="preserve">, creșterea inflației. În esență scăderea drastică a puterii de cumpărare, vor face ca în anul, majoritatea salariaților sare își desfășoară activitatea în administrația publică, în special cei de la comune nu își vor permite concedii de odihnă pentru ”încărcarea bateriilor”. </w:t>
            </w:r>
            <w:r w:rsidRPr="009E077F">
              <w:rPr>
                <w:sz w:val="26"/>
                <w:szCs w:val="26"/>
                <w:lang w:val="ro-RO"/>
              </w:rPr>
              <w:t xml:space="preserve">În lipsa unui concediu de odihnă, productivitatea se reduce drastic și se instalează oboseala și </w:t>
            </w:r>
            <w:proofErr w:type="spellStart"/>
            <w:r>
              <w:rPr>
                <w:sz w:val="26"/>
                <w:szCs w:val="26"/>
                <w:lang w:val="ro-RO"/>
              </w:rPr>
              <w:t>ș</w:t>
            </w:r>
            <w:r w:rsidRPr="009E077F">
              <w:rPr>
                <w:sz w:val="26"/>
                <w:szCs w:val="26"/>
                <w:lang w:val="ro-RO"/>
              </w:rPr>
              <w:t>tresul</w:t>
            </w:r>
            <w:proofErr w:type="spellEnd"/>
            <w:r w:rsidRPr="009E077F">
              <w:rPr>
                <w:sz w:val="26"/>
                <w:szCs w:val="26"/>
                <w:lang w:val="ro-RO"/>
              </w:rPr>
              <w:t xml:space="preserve"> cronic</w:t>
            </w:r>
            <w:r>
              <w:rPr>
                <w:sz w:val="26"/>
                <w:szCs w:val="26"/>
                <w:lang w:val="ro-RO"/>
              </w:rPr>
              <w:t xml:space="preserve">. Voucherele de vacanță au ca scop asigurarea refacerii capacității de muncă, indiferent de nivelul veniturilor.  </w:t>
            </w:r>
          </w:p>
        </w:tc>
      </w:tr>
      <w:tr w:rsidR="003077B9" w:rsidRPr="008C03CE" w14:paraId="3909EB94"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3E79DFA7" w14:textId="77777777" w:rsidR="003077B9" w:rsidRDefault="003077B9" w:rsidP="005C60F9">
            <w:pPr>
              <w:tabs>
                <w:tab w:val="left" w:pos="0"/>
                <w:tab w:val="left" w:pos="709"/>
              </w:tabs>
              <w:autoSpaceDE w:val="0"/>
              <w:spacing w:after="0" w:line="240" w:lineRule="auto"/>
              <w:jc w:val="both"/>
              <w:rPr>
                <w:sz w:val="26"/>
                <w:szCs w:val="26"/>
                <w:lang w:val="ro-RO"/>
              </w:rPr>
            </w:pPr>
            <w:r>
              <w:rPr>
                <w:sz w:val="26"/>
                <w:szCs w:val="26"/>
                <w:lang w:val="ro-RO"/>
              </w:rPr>
              <w:lastRenderedPageBreak/>
              <w:t xml:space="preserve">Art. XXVI </w:t>
            </w:r>
          </w:p>
          <w:p w14:paraId="7B80CA4A" w14:textId="6BBE30E4" w:rsidR="003077B9" w:rsidRDefault="003077B9" w:rsidP="005C60F9">
            <w:pPr>
              <w:tabs>
                <w:tab w:val="left" w:pos="0"/>
                <w:tab w:val="left" w:pos="709"/>
              </w:tabs>
              <w:autoSpaceDE w:val="0"/>
              <w:spacing w:after="0" w:line="240" w:lineRule="auto"/>
              <w:jc w:val="both"/>
              <w:rPr>
                <w:sz w:val="26"/>
                <w:szCs w:val="26"/>
                <w:lang w:val="ro-RO"/>
              </w:rPr>
            </w:pPr>
            <w:r w:rsidRPr="003077B9">
              <w:rPr>
                <w:sz w:val="26"/>
                <w:szCs w:val="26"/>
                <w:lang w:val="ro-RO"/>
              </w:rPr>
              <w:t>(1)</w:t>
            </w:r>
            <w:r w:rsidRPr="003077B9">
              <w:rPr>
                <w:sz w:val="26"/>
                <w:szCs w:val="26"/>
                <w:lang w:val="ro-RO"/>
              </w:rPr>
              <w:tab/>
              <w:t xml:space="preserve">Începând cu 1 octombrie 2023, ordonatorii de credite acordă obligatoriu, lunar, pentru personalul încadrat ale căror salarii/indemnizații nete de încadrare lunare sunt de până la 8.000 lei inclusiv indemnizații de hrană la nivelul anual a două salarii minime pe economie în vigoare la data de 1 ianuarie </w:t>
            </w:r>
            <w:r w:rsidRPr="003077B9">
              <w:rPr>
                <w:sz w:val="26"/>
                <w:szCs w:val="26"/>
                <w:lang w:val="ro-RO"/>
              </w:rPr>
              <w:lastRenderedPageBreak/>
              <w:t>2019, actualizat anual cu indicele prețului de consum comunicat anual de Institutul Național de Statistică, începând cu 2025, cu excepția personalului Ministerului Apărării Naționale, Ministerului Afacerilor Interne, Ministerului Justiției - Administrația Națională a Penitenciarelor, Serviciului Român de Informații, Serviciului de Informații Externe, Serviciului de Protecție și Pază și Serviciului de Telecomunicații Speciale, precum și a personalului poliției locale care, potrivit legii, beneficiază de drepturi de hrană în temeiul Ordonanței Guvernului nr. 26/1994 privind drepturile de hrană, în timp de pace, ale personalului din sectorul de apărare națională, ordine publică și siguranță națională, republicată, cu modificările și completările ulterioare.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CF28A9F" w14:textId="77777777" w:rsidR="003077B9" w:rsidRDefault="003077B9" w:rsidP="003077B9">
            <w:pPr>
              <w:tabs>
                <w:tab w:val="left" w:pos="0"/>
                <w:tab w:val="left" w:pos="709"/>
              </w:tabs>
              <w:autoSpaceDE w:val="0"/>
              <w:spacing w:after="0" w:line="240" w:lineRule="auto"/>
              <w:jc w:val="both"/>
              <w:rPr>
                <w:sz w:val="26"/>
                <w:szCs w:val="26"/>
                <w:lang w:val="ro-RO"/>
              </w:rPr>
            </w:pPr>
            <w:r>
              <w:rPr>
                <w:sz w:val="26"/>
                <w:szCs w:val="26"/>
                <w:lang w:val="ro-RO"/>
              </w:rPr>
              <w:lastRenderedPageBreak/>
              <w:t xml:space="preserve">Art. XXVI </w:t>
            </w:r>
          </w:p>
          <w:p w14:paraId="16DD7498" w14:textId="2FBCF5AA" w:rsidR="003077B9" w:rsidRDefault="003077B9" w:rsidP="003077B9">
            <w:pPr>
              <w:tabs>
                <w:tab w:val="left" w:pos="0"/>
                <w:tab w:val="left" w:pos="709"/>
              </w:tabs>
              <w:autoSpaceDE w:val="0"/>
              <w:spacing w:after="0" w:line="240" w:lineRule="auto"/>
              <w:jc w:val="both"/>
              <w:rPr>
                <w:sz w:val="26"/>
                <w:szCs w:val="26"/>
                <w:lang w:val="ro-RO"/>
              </w:rPr>
            </w:pPr>
            <w:r w:rsidRPr="003077B9">
              <w:rPr>
                <w:sz w:val="26"/>
                <w:szCs w:val="26"/>
                <w:lang w:val="ro-RO"/>
              </w:rPr>
              <w:t xml:space="preserve"> (1)</w:t>
            </w:r>
            <w:r w:rsidRPr="003077B9">
              <w:rPr>
                <w:sz w:val="26"/>
                <w:szCs w:val="26"/>
                <w:lang w:val="ro-RO"/>
              </w:rPr>
              <w:tab/>
              <w:t>Începând cu 1 octombrie 2023, ordonatorii de credite acordă obligatoriu, lunar, pentru personalul</w:t>
            </w:r>
            <w:r>
              <w:rPr>
                <w:sz w:val="26"/>
                <w:szCs w:val="26"/>
                <w:lang w:val="ro-RO"/>
              </w:rPr>
              <w:t xml:space="preserve"> </w:t>
            </w:r>
            <w:r w:rsidRPr="003077B9">
              <w:rPr>
                <w:b/>
                <w:color w:val="FF0000"/>
                <w:sz w:val="26"/>
                <w:szCs w:val="26"/>
                <w:lang w:val="ro-RO"/>
              </w:rPr>
              <w:t xml:space="preserve">(Eliminarea pragului </w:t>
            </w:r>
            <w:r>
              <w:rPr>
                <w:b/>
                <w:color w:val="FF0000"/>
                <w:sz w:val="26"/>
                <w:szCs w:val="26"/>
                <w:lang w:val="ro-RO"/>
              </w:rPr>
              <w:t xml:space="preserve">de 8.000 lei a </w:t>
            </w:r>
            <w:r w:rsidRPr="003077B9">
              <w:rPr>
                <w:b/>
                <w:color w:val="FF0000"/>
                <w:sz w:val="26"/>
                <w:szCs w:val="26"/>
                <w:lang w:val="ro-RO"/>
              </w:rPr>
              <w:t>salariului net</w:t>
            </w:r>
            <w:r>
              <w:rPr>
                <w:b/>
                <w:color w:val="FF0000"/>
                <w:sz w:val="26"/>
                <w:szCs w:val="26"/>
                <w:lang w:val="ro-RO"/>
              </w:rPr>
              <w:t xml:space="preserve"> lunar</w:t>
            </w:r>
            <w:r w:rsidRPr="003077B9">
              <w:rPr>
                <w:b/>
                <w:color w:val="FF0000"/>
                <w:sz w:val="26"/>
                <w:szCs w:val="26"/>
                <w:lang w:val="ro-RO"/>
              </w:rPr>
              <w:t>.</w:t>
            </w:r>
            <w:r>
              <w:rPr>
                <w:b/>
                <w:color w:val="FF0000"/>
                <w:sz w:val="26"/>
                <w:szCs w:val="26"/>
                <w:lang w:val="ro-RO"/>
              </w:rPr>
              <w:t>)</w:t>
            </w:r>
            <w:r w:rsidRPr="003077B9">
              <w:rPr>
                <w:sz w:val="26"/>
                <w:szCs w:val="26"/>
                <w:lang w:val="ro-RO"/>
              </w:rPr>
              <w:t xml:space="preserve"> încadrat indemnizații de hrană la nivelul anual a două salarii minime pe economie în vigoare la data de 1 ianuarie 2019, actualizat </w:t>
            </w:r>
            <w:r w:rsidRPr="003077B9">
              <w:rPr>
                <w:sz w:val="26"/>
                <w:szCs w:val="26"/>
                <w:lang w:val="ro-RO"/>
              </w:rPr>
              <w:lastRenderedPageBreak/>
              <w:t>anual cu indicele prețului de consum comunicat anual de Institutul Național de Statistică, începând cu 2025, cu excepția personalului Ministerului Apărării Naționale, Ministerului Afacerilor Interne, Ministerului Justiției - Administrația Națională a Penitenciarelor, Serviciului Român de Informații, Serviciului de Informații Externe, Serviciului de Protecție și Pază și Serviciului de Telecomunicații Speciale, precum și a personalului poliției locale care, potrivit legii, beneficiază de drepturi de hrană în temeiul Ordonanței Guvernului nr. 26/1994 privind drepturile de hrană, în timp de pace, ale personalului din sectorul de apărare națională, ordine publică și siguranță națională, republicată, cu modificările și completările ulterioare.</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48CE9A80" w14:textId="0C4A273F" w:rsidR="003077B9" w:rsidRPr="00D761F9" w:rsidRDefault="003077B9" w:rsidP="00280DB5">
            <w:pPr>
              <w:autoSpaceDE w:val="0"/>
              <w:autoSpaceDN w:val="0"/>
              <w:adjustRightInd w:val="0"/>
              <w:spacing w:after="0" w:line="240" w:lineRule="auto"/>
              <w:jc w:val="both"/>
              <w:rPr>
                <w:sz w:val="26"/>
                <w:szCs w:val="26"/>
                <w:lang w:val="ro-RO"/>
              </w:rPr>
            </w:pPr>
            <w:r>
              <w:rPr>
                <w:sz w:val="26"/>
                <w:szCs w:val="26"/>
                <w:lang w:val="ro-RO"/>
              </w:rPr>
              <w:lastRenderedPageBreak/>
              <w:t xml:space="preserve">Considerăm discriminatoriu instituirea unui prag </w:t>
            </w:r>
            <w:r w:rsidR="00280DB5">
              <w:rPr>
                <w:sz w:val="26"/>
                <w:szCs w:val="26"/>
                <w:lang w:val="ro-RO"/>
              </w:rPr>
              <w:t>al salariului net al angajatului pentru a beneficia de îndemnizații de hrană.</w:t>
            </w:r>
          </w:p>
        </w:tc>
      </w:tr>
      <w:tr w:rsidR="00211736" w:rsidRPr="008C03CE" w14:paraId="6899CA1B"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0AF5001B" w14:textId="77777777" w:rsidR="00280DB5" w:rsidRPr="00280DB5" w:rsidRDefault="00280DB5" w:rsidP="00280DB5">
            <w:pPr>
              <w:tabs>
                <w:tab w:val="left" w:pos="0"/>
                <w:tab w:val="left" w:pos="709"/>
              </w:tabs>
              <w:autoSpaceDE w:val="0"/>
              <w:spacing w:after="0" w:line="240" w:lineRule="auto"/>
              <w:jc w:val="both"/>
              <w:rPr>
                <w:sz w:val="26"/>
                <w:szCs w:val="26"/>
                <w:lang w:val="ro-RO"/>
              </w:rPr>
            </w:pPr>
            <w:r w:rsidRPr="00280DB5">
              <w:rPr>
                <w:sz w:val="26"/>
                <w:szCs w:val="26"/>
                <w:lang w:val="ro-RO"/>
              </w:rPr>
              <w:t xml:space="preserve">Art. XXVIII (1) Începând cu data intrării în vigoare a prezentei legi achiziția de aparate de telefonie mobilă în entitățile publice nu poate depăși cuantumul de maxim 500 lei/aparat de telefonie mobil </w:t>
            </w:r>
            <w:r w:rsidRPr="00280DB5">
              <w:rPr>
                <w:sz w:val="26"/>
                <w:szCs w:val="26"/>
                <w:lang w:val="ro-RO"/>
              </w:rPr>
              <w:lastRenderedPageBreak/>
              <w:t>achiziționat;</w:t>
            </w:r>
          </w:p>
          <w:p w14:paraId="7411D0F7" w14:textId="77777777" w:rsidR="00280DB5" w:rsidRPr="00280DB5" w:rsidRDefault="00280DB5" w:rsidP="00280DB5">
            <w:pPr>
              <w:tabs>
                <w:tab w:val="left" w:pos="0"/>
                <w:tab w:val="left" w:pos="709"/>
              </w:tabs>
              <w:autoSpaceDE w:val="0"/>
              <w:spacing w:after="0" w:line="240" w:lineRule="auto"/>
              <w:jc w:val="both"/>
              <w:rPr>
                <w:sz w:val="26"/>
                <w:szCs w:val="26"/>
                <w:lang w:val="ro-RO"/>
              </w:rPr>
            </w:pPr>
            <w:r w:rsidRPr="00280DB5">
              <w:rPr>
                <w:sz w:val="26"/>
                <w:szCs w:val="26"/>
                <w:lang w:val="ro-RO"/>
              </w:rPr>
              <w:t>(2)</w:t>
            </w:r>
            <w:r w:rsidRPr="00280DB5">
              <w:rPr>
                <w:sz w:val="26"/>
                <w:szCs w:val="26"/>
                <w:lang w:val="ro-RO"/>
              </w:rPr>
              <w:tab/>
              <w:t>Cheltuielile lunare cu abonamentul de telefonie mobilă decontat din fonduri publice sunt de maxim 25 lei/lună/aparat de telefonie mobilă;</w:t>
            </w:r>
          </w:p>
          <w:p w14:paraId="21DBD523" w14:textId="6A8A86AB" w:rsidR="00211736" w:rsidRPr="00395E50" w:rsidRDefault="00280DB5" w:rsidP="00280DB5">
            <w:pPr>
              <w:tabs>
                <w:tab w:val="left" w:pos="0"/>
                <w:tab w:val="left" w:pos="709"/>
              </w:tabs>
              <w:autoSpaceDE w:val="0"/>
              <w:spacing w:after="0" w:line="240" w:lineRule="auto"/>
              <w:jc w:val="both"/>
              <w:rPr>
                <w:sz w:val="26"/>
                <w:szCs w:val="26"/>
                <w:lang w:val="ro-RO"/>
              </w:rPr>
            </w:pPr>
            <w:r w:rsidRPr="00280DB5">
              <w:rPr>
                <w:sz w:val="26"/>
                <w:szCs w:val="26"/>
                <w:lang w:val="ro-RO"/>
              </w:rPr>
              <w:t>(3)</w:t>
            </w:r>
            <w:r w:rsidRPr="00280DB5">
              <w:rPr>
                <w:sz w:val="26"/>
                <w:szCs w:val="26"/>
                <w:lang w:val="ro-RO"/>
              </w:rPr>
              <w:tab/>
              <w:t>Eventualele depășiri ale costului de achiziție pentru aparatele de telefonie mobilă sau ale costurilor cu abonamentele lunare de telefonie mobilă sunt suportate de personalul încadrat beneficiar al serviciilor de telefonie mobilă;</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108833B" w14:textId="4374977A" w:rsidR="00211736" w:rsidRPr="00211736" w:rsidRDefault="00211736" w:rsidP="005C60F9">
            <w:pPr>
              <w:tabs>
                <w:tab w:val="left" w:pos="0"/>
                <w:tab w:val="left" w:pos="709"/>
              </w:tabs>
              <w:autoSpaceDE w:val="0"/>
              <w:spacing w:after="0" w:line="240" w:lineRule="auto"/>
              <w:jc w:val="both"/>
              <w:rPr>
                <w:sz w:val="26"/>
                <w:szCs w:val="26"/>
                <w:lang w:val="ro-RO"/>
              </w:rPr>
            </w:pPr>
            <w:r>
              <w:rPr>
                <w:sz w:val="26"/>
                <w:szCs w:val="26"/>
                <w:lang w:val="ro-RO"/>
              </w:rPr>
              <w:lastRenderedPageBreak/>
              <w:t>Art. X</w:t>
            </w:r>
            <w:r w:rsidR="00280DB5">
              <w:rPr>
                <w:sz w:val="26"/>
                <w:szCs w:val="26"/>
                <w:lang w:val="ro-RO"/>
              </w:rPr>
              <w:t>X</w:t>
            </w:r>
            <w:r>
              <w:rPr>
                <w:sz w:val="26"/>
                <w:szCs w:val="26"/>
                <w:lang w:val="ro-RO"/>
              </w:rPr>
              <w:t>V</w:t>
            </w:r>
            <w:r w:rsidR="00280DB5">
              <w:rPr>
                <w:sz w:val="26"/>
                <w:szCs w:val="26"/>
                <w:lang w:val="ro-RO"/>
              </w:rPr>
              <w:t>II</w:t>
            </w:r>
            <w:r>
              <w:rPr>
                <w:sz w:val="26"/>
                <w:szCs w:val="26"/>
                <w:lang w:val="ro-RO"/>
              </w:rPr>
              <w:t xml:space="preserve"> (1)</w:t>
            </w:r>
            <w:r w:rsidR="00280DB5">
              <w:rPr>
                <w:sz w:val="26"/>
                <w:szCs w:val="26"/>
                <w:lang w:val="ro-RO"/>
              </w:rPr>
              <w:t xml:space="preserve"> </w:t>
            </w:r>
            <w:r w:rsidRPr="00211736">
              <w:rPr>
                <w:sz w:val="26"/>
                <w:szCs w:val="26"/>
                <w:lang w:val="ro-RO"/>
              </w:rPr>
              <w:t xml:space="preserve">Începând cu data intrării în vigoare a prezentei </w:t>
            </w:r>
            <w:r w:rsidR="00280DB5">
              <w:rPr>
                <w:sz w:val="26"/>
                <w:szCs w:val="26"/>
                <w:lang w:val="ro-RO"/>
              </w:rPr>
              <w:t xml:space="preserve">legi </w:t>
            </w:r>
            <w:r w:rsidRPr="00211736">
              <w:rPr>
                <w:sz w:val="26"/>
                <w:szCs w:val="26"/>
                <w:lang w:val="ro-RO"/>
              </w:rPr>
              <w:t xml:space="preserve">achiziția de aparate de telefonie mobilă în entitățile publice nu poate depăși cuantumul de maxim </w:t>
            </w:r>
            <w:r w:rsidR="005C60F9" w:rsidRPr="005C60F9">
              <w:rPr>
                <w:b/>
                <w:color w:val="FF0000"/>
                <w:sz w:val="26"/>
                <w:szCs w:val="26"/>
                <w:lang w:val="ro-RO"/>
              </w:rPr>
              <w:t>2</w:t>
            </w:r>
            <w:r w:rsidRPr="00211736">
              <w:rPr>
                <w:b/>
                <w:color w:val="FF0000"/>
                <w:sz w:val="26"/>
                <w:szCs w:val="26"/>
                <w:lang w:val="ro-RO"/>
              </w:rPr>
              <w:t>500</w:t>
            </w:r>
            <w:r w:rsidRPr="00211736">
              <w:rPr>
                <w:sz w:val="26"/>
                <w:szCs w:val="26"/>
                <w:lang w:val="ro-RO"/>
              </w:rPr>
              <w:t xml:space="preserve"> lei/aparat de </w:t>
            </w:r>
            <w:r w:rsidRPr="00211736">
              <w:rPr>
                <w:sz w:val="26"/>
                <w:szCs w:val="26"/>
                <w:lang w:val="ro-RO"/>
              </w:rPr>
              <w:lastRenderedPageBreak/>
              <w:t>telefonie mobil achiziționat;</w:t>
            </w:r>
          </w:p>
          <w:p w14:paraId="098C69F9" w14:textId="7C49396B" w:rsidR="00211736" w:rsidRPr="00395E50" w:rsidRDefault="00211736" w:rsidP="005C60F9">
            <w:pPr>
              <w:tabs>
                <w:tab w:val="left" w:pos="0"/>
                <w:tab w:val="left" w:pos="709"/>
              </w:tabs>
              <w:autoSpaceDE w:val="0"/>
              <w:spacing w:after="0" w:line="240" w:lineRule="auto"/>
              <w:jc w:val="both"/>
              <w:rPr>
                <w:sz w:val="26"/>
                <w:szCs w:val="26"/>
                <w:lang w:val="ro-RO"/>
              </w:rPr>
            </w:pPr>
            <w:r w:rsidRPr="00211736">
              <w:rPr>
                <w:sz w:val="26"/>
                <w:szCs w:val="26"/>
                <w:lang w:val="ro-RO"/>
              </w:rPr>
              <w:t xml:space="preserve">(3) </w:t>
            </w:r>
            <w:r>
              <w:rPr>
                <w:sz w:val="26"/>
                <w:szCs w:val="26"/>
                <w:lang w:val="ro-RO"/>
              </w:rPr>
              <w:t>-</w:t>
            </w:r>
            <w:r w:rsidRPr="00211736">
              <w:rPr>
                <w:b/>
                <w:color w:val="FF0000"/>
                <w:sz w:val="26"/>
                <w:szCs w:val="26"/>
                <w:lang w:val="ro-RO"/>
              </w:rPr>
              <w:t xml:space="preserve"> Eliminat</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779148ED"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lastRenderedPageBreak/>
              <w:t xml:space="preserve">Telefonul mobil este un instrument de lucru în multe situații și domenii de activitate. În zilele noastre, telefoanele mobile au devenit mult mai mult decât simple dispozitive de comunicație. Ele </w:t>
            </w:r>
            <w:r w:rsidRPr="00D761F9">
              <w:rPr>
                <w:sz w:val="26"/>
                <w:szCs w:val="26"/>
                <w:lang w:val="ro-RO"/>
              </w:rPr>
              <w:lastRenderedPageBreak/>
              <w:t>au evoluat pentru a îngloba o gamă variată de funcționalități și aplicații care pot fi utile pentru sarcini și activități legate de muncă, cum ar fi:</w:t>
            </w:r>
          </w:p>
          <w:p w14:paraId="1BA7B6A5"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Comunicație: Telefonul mobil facilitează comunicarea rapidă între colegi, clienți, parteneri de afaceri și angajați de pe teren. Apelurile telefonice, mesajele text, e-mailurile și aplicațiile de mesagerie sunt moduri eficiente de a menține legătura cu cei din mediul profesional.</w:t>
            </w:r>
          </w:p>
          <w:p w14:paraId="0C1685E0"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Acces la informații: Cu ajutorul internetului și a aplicațiilor mobile, se poate accesa rapid informații relevante, cum ar fi date de piață, informații despre clienți, actualizări legate de proiecte și multe altele.</w:t>
            </w:r>
          </w:p>
          <w:p w14:paraId="571AA31D"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Organizare și planificare: Telefoanele mobile sunt echipate cu calendare, agende și aplicații de organizare care permit gestionare a programului de lucru, întâlniri, sarcini și proiecte.</w:t>
            </w:r>
          </w:p>
          <w:p w14:paraId="33F066FA"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 xml:space="preserve">Redactare și editare de documente: Există aplicații mobile care permit redactarea, editarea și partajarea documentelor, astfel încât se poate lucra și colabora cu colegi chiar și în </w:t>
            </w:r>
            <w:r w:rsidRPr="00D761F9">
              <w:rPr>
                <w:sz w:val="26"/>
                <w:szCs w:val="26"/>
                <w:lang w:val="ro-RO"/>
              </w:rPr>
              <w:lastRenderedPageBreak/>
              <w:t>deplasare.</w:t>
            </w:r>
          </w:p>
          <w:p w14:paraId="28AB5DB0"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Acces la aplicații de productivitate: Pe lângă e-mail și suitele de birou, există o gamă largă de aplicații mobile specializate în gestionarea proiectelor, gestionarea timpului, contabilitate, comunicare internă în cadrul companiei și multe altele.</w:t>
            </w:r>
          </w:p>
          <w:p w14:paraId="5135ECBF"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Monitorizare și management de proiecte: Prin intermediul aplicațiilor mobile, se pot urmări progresul proiectelor, pot fi alocate resurse, se pot menține un istoric al activităților și pot fi gestionați sarcinile de lucru.</w:t>
            </w:r>
          </w:p>
          <w:p w14:paraId="1CC843FD"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Prezentări și formare: Telefoanele mobile pot fi folosite pentru a crea prezentări și materiale de formare, care pot fi împărtășite cu colegi sau clienți.</w:t>
            </w:r>
          </w:p>
          <w:p w14:paraId="6ACA2928" w14:textId="49E50A44" w:rsidR="00211736"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Telefoanele mobile care știu aceste funcții încep de la valoarea de 2.500 de lei.</w:t>
            </w:r>
          </w:p>
        </w:tc>
      </w:tr>
      <w:tr w:rsidR="00211736" w:rsidRPr="008C03CE" w14:paraId="606B0D91"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9AFE70E" w14:textId="6CDE8C1A" w:rsidR="00211736" w:rsidRPr="00395E50" w:rsidRDefault="00280DB5" w:rsidP="005C60F9">
            <w:pPr>
              <w:tabs>
                <w:tab w:val="left" w:pos="0"/>
                <w:tab w:val="left" w:pos="709"/>
              </w:tabs>
              <w:autoSpaceDE w:val="0"/>
              <w:spacing w:after="0" w:line="240" w:lineRule="auto"/>
              <w:jc w:val="both"/>
              <w:rPr>
                <w:sz w:val="26"/>
                <w:szCs w:val="26"/>
                <w:lang w:val="ro-RO"/>
              </w:rPr>
            </w:pPr>
            <w:r w:rsidRPr="00280DB5">
              <w:rPr>
                <w:sz w:val="26"/>
                <w:szCs w:val="26"/>
                <w:lang w:val="ro-RO"/>
              </w:rPr>
              <w:lastRenderedPageBreak/>
              <w:t xml:space="preserve">Art. XXIX (1) Începând cu exercițiul bugetar al anului 2024, la elaborarea și aprobarea bugetelor locale, cheltuielile efectuate de autoritățile publice locale aferente capitolului bugetar ”Cultură, Recreere și Religie” nu pot depăși 2,5% din </w:t>
            </w:r>
            <w:r w:rsidRPr="00280DB5">
              <w:rPr>
                <w:sz w:val="26"/>
                <w:szCs w:val="26"/>
                <w:lang w:val="ro-RO"/>
              </w:rPr>
              <w:lastRenderedPageBreak/>
              <w:t>veniturile proprii realizate în exercițiul bugetar precedent. La determinarea procentului de 2,5% aplicat asupra veniturile proprii nu se includ cheltuielile destinate activităților sportive, recreative precum și instituțiile publice de cultură indiferent de natura acestora și forma lor de organizare. Cheltuielile cu activitățile sportive trebuie să aibă bugetele de venituri și cheltuieli aprobate prin hotărâre distinct de către autoritățile publice locale/județene precum și grilele de salarizare pentru întreg personalul care deservește activitatea sportivă. Nu se includ de asemenea cheltuielile aferente proiectelor cu finanțare din fonduri externe nerambursabile;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C3FF0A8" w14:textId="49912926" w:rsidR="00211736" w:rsidRPr="00B64773" w:rsidRDefault="00280DB5" w:rsidP="00280DB5">
            <w:pPr>
              <w:tabs>
                <w:tab w:val="left" w:pos="0"/>
                <w:tab w:val="left" w:pos="709"/>
              </w:tabs>
              <w:autoSpaceDE w:val="0"/>
              <w:spacing w:after="0" w:line="240" w:lineRule="auto"/>
              <w:jc w:val="both"/>
              <w:rPr>
                <w:sz w:val="26"/>
                <w:szCs w:val="26"/>
                <w:lang w:val="ro-RO"/>
              </w:rPr>
            </w:pPr>
            <w:r w:rsidRPr="00B64773">
              <w:rPr>
                <w:sz w:val="26"/>
                <w:szCs w:val="26"/>
                <w:lang w:val="ro-RO"/>
              </w:rPr>
              <w:lastRenderedPageBreak/>
              <w:t xml:space="preserve">Art. XXIX (1) Începând cu exercițiul bugetar al anului 2024, la elaborarea și aprobarea bugetelor locale, cheltuielile efectuate de autoritățile publice locale aferente capitolului bugetar ”Cultură, Recreere și Religie” nu pot depăși </w:t>
            </w:r>
            <w:r w:rsidRPr="00B64773">
              <w:rPr>
                <w:b/>
                <w:color w:val="FF0000"/>
                <w:sz w:val="26"/>
                <w:szCs w:val="26"/>
                <w:lang w:val="ro-RO"/>
              </w:rPr>
              <w:t>10%</w:t>
            </w:r>
            <w:r w:rsidRPr="00B64773">
              <w:rPr>
                <w:sz w:val="26"/>
                <w:szCs w:val="26"/>
                <w:lang w:val="ro-RO"/>
              </w:rPr>
              <w:t xml:space="preserve"> </w:t>
            </w:r>
            <w:r w:rsidRPr="00B64773">
              <w:rPr>
                <w:sz w:val="26"/>
                <w:szCs w:val="26"/>
                <w:lang w:val="ro-RO"/>
              </w:rPr>
              <w:lastRenderedPageBreak/>
              <w:t xml:space="preserve">din veniturile proprii realizate în exercițiul bugetar precedent. La determinarea procentului de </w:t>
            </w:r>
            <w:r w:rsidRPr="00B64773">
              <w:rPr>
                <w:b/>
                <w:color w:val="FF0000"/>
                <w:sz w:val="26"/>
                <w:szCs w:val="26"/>
                <w:lang w:val="ro-RO"/>
              </w:rPr>
              <w:t>10%</w:t>
            </w:r>
            <w:r w:rsidRPr="00B64773">
              <w:rPr>
                <w:sz w:val="26"/>
                <w:szCs w:val="26"/>
                <w:lang w:val="ro-RO"/>
              </w:rPr>
              <w:t xml:space="preserve"> aplicat asupra veniturile proprii nu se includ </w:t>
            </w:r>
            <w:r w:rsidRPr="00B64773">
              <w:rPr>
                <w:b/>
                <w:color w:val="FF0000"/>
                <w:sz w:val="26"/>
                <w:szCs w:val="26"/>
                <w:lang w:val="ro-RO"/>
              </w:rPr>
              <w:t xml:space="preserve">cheltuielile destinate contribuțiilor la salarizarea personalului </w:t>
            </w:r>
            <w:proofErr w:type="spellStart"/>
            <w:r w:rsidRPr="00B64773">
              <w:rPr>
                <w:b/>
                <w:color w:val="FF0000"/>
                <w:sz w:val="26"/>
                <w:szCs w:val="26"/>
                <w:lang w:val="ro-RO"/>
              </w:rPr>
              <w:t>neclerical</w:t>
            </w:r>
            <w:proofErr w:type="spellEnd"/>
            <w:r w:rsidRPr="00B64773">
              <w:rPr>
                <w:sz w:val="26"/>
                <w:szCs w:val="26"/>
                <w:lang w:val="ro-RO"/>
              </w:rPr>
              <w:t>, activităților sportive, recreative precum și instituțiile publice de cultură indiferent de natura acestora și forma lor de organizare. Cheltuielile cu activitățile sportive trebuie să aibă bugetele de venituri și cheltuieli aprobate prin hotărâre distinct de către autoritățile publice locale/județene precum și grilele de salarizare pentru întreg personalul care deservește activitatea sportivă. Nu se includ de asemenea cheltuielile aferente proiectelor cu finanțare din fonduri externe nerambursabile;</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2842215B" w14:textId="77777777" w:rsidR="00D750C0" w:rsidRDefault="00211736" w:rsidP="00D750C0">
            <w:pPr>
              <w:autoSpaceDE w:val="0"/>
              <w:autoSpaceDN w:val="0"/>
              <w:adjustRightInd w:val="0"/>
              <w:spacing w:after="0" w:line="240" w:lineRule="auto"/>
              <w:jc w:val="both"/>
              <w:rPr>
                <w:sz w:val="26"/>
                <w:szCs w:val="26"/>
                <w:lang w:val="ro-RO"/>
              </w:rPr>
            </w:pPr>
            <w:r w:rsidRPr="004B07A0">
              <w:rPr>
                <w:sz w:val="26"/>
                <w:szCs w:val="26"/>
                <w:lang w:val="ro-RO"/>
              </w:rPr>
              <w:lastRenderedPageBreak/>
              <w:t xml:space="preserve">Având în vedere că consiliile județene  realizează venituri proprii nesemnificative din impozite și taxe, valoarea propusă de </w:t>
            </w:r>
            <w:r w:rsidR="00D750C0">
              <w:rPr>
                <w:sz w:val="26"/>
                <w:szCs w:val="26"/>
                <w:lang w:val="ro-RO"/>
              </w:rPr>
              <w:t>2</w:t>
            </w:r>
            <w:r w:rsidRPr="004B07A0">
              <w:rPr>
                <w:sz w:val="26"/>
                <w:szCs w:val="26"/>
                <w:lang w:val="ro-RO"/>
              </w:rPr>
              <w:t xml:space="preserve">,5 % </w:t>
            </w:r>
            <w:r w:rsidR="004B07A0" w:rsidRPr="004B07A0">
              <w:rPr>
                <w:sz w:val="26"/>
                <w:szCs w:val="26"/>
                <w:lang w:val="ro-RO"/>
              </w:rPr>
              <w:t xml:space="preserve">din venituri proprii </w:t>
            </w:r>
            <w:r w:rsidRPr="004B07A0">
              <w:rPr>
                <w:sz w:val="26"/>
                <w:szCs w:val="26"/>
                <w:lang w:val="ro-RO"/>
              </w:rPr>
              <w:t>pentru finanțarea capitolului bugetar 67 – Cultură</w:t>
            </w:r>
            <w:r w:rsidR="00D750C0">
              <w:rPr>
                <w:sz w:val="26"/>
                <w:szCs w:val="26"/>
                <w:lang w:val="ro-RO"/>
              </w:rPr>
              <w:t>, așa cum prevede proiectul de lege,</w:t>
            </w:r>
            <w:r w:rsidR="004B07A0" w:rsidRPr="004B07A0">
              <w:rPr>
                <w:sz w:val="26"/>
                <w:szCs w:val="26"/>
                <w:lang w:val="ro-RO"/>
              </w:rPr>
              <w:t xml:space="preserve"> duce la </w:t>
            </w:r>
            <w:r w:rsidR="004B07A0" w:rsidRPr="004B07A0">
              <w:rPr>
                <w:sz w:val="26"/>
                <w:szCs w:val="26"/>
                <w:lang w:val="ro-RO"/>
              </w:rPr>
              <w:lastRenderedPageBreak/>
              <w:t xml:space="preserve">imposibilitatea </w:t>
            </w:r>
            <w:r w:rsidR="00D750C0">
              <w:rPr>
                <w:sz w:val="26"/>
                <w:szCs w:val="26"/>
                <w:lang w:val="ro-RO"/>
              </w:rPr>
              <w:t xml:space="preserve">derulării programelor culturale, </w:t>
            </w:r>
            <w:r w:rsidR="004B07A0" w:rsidRPr="004B07A0">
              <w:rPr>
                <w:sz w:val="26"/>
                <w:szCs w:val="26"/>
                <w:lang w:val="ro-RO"/>
              </w:rPr>
              <w:t>de tineret și religioase.</w:t>
            </w:r>
          </w:p>
          <w:p w14:paraId="6C003E83" w14:textId="34A1B1AA" w:rsidR="00211736" w:rsidRPr="004B07A0" w:rsidRDefault="00D750C0" w:rsidP="00D750C0">
            <w:pPr>
              <w:autoSpaceDE w:val="0"/>
              <w:autoSpaceDN w:val="0"/>
              <w:adjustRightInd w:val="0"/>
              <w:spacing w:after="0" w:line="240" w:lineRule="auto"/>
              <w:jc w:val="both"/>
              <w:rPr>
                <w:sz w:val="26"/>
                <w:szCs w:val="26"/>
                <w:lang w:val="ro-RO"/>
              </w:rPr>
            </w:pPr>
            <w:r>
              <w:rPr>
                <w:sz w:val="26"/>
                <w:szCs w:val="26"/>
                <w:lang w:val="ro-RO"/>
              </w:rPr>
              <w:t>Totodată în cazul consiliilor județene la capitolul bugetar ”</w:t>
            </w:r>
            <w:r w:rsidRPr="00280DB5">
              <w:rPr>
                <w:sz w:val="26"/>
                <w:szCs w:val="26"/>
                <w:lang w:val="ro-RO"/>
              </w:rPr>
              <w:t>Cultură, Recreere și Religie</w:t>
            </w:r>
            <w:r>
              <w:rPr>
                <w:sz w:val="26"/>
                <w:szCs w:val="26"/>
                <w:lang w:val="ro-RO"/>
              </w:rPr>
              <w:t xml:space="preserve">” sunt incluse sumele necesare </w:t>
            </w:r>
            <w:r w:rsidRPr="00D750C0">
              <w:rPr>
                <w:sz w:val="26"/>
                <w:szCs w:val="26"/>
                <w:lang w:val="ro-RO"/>
              </w:rPr>
              <w:t xml:space="preserve">contribuțiilor la salarizarea personalului </w:t>
            </w:r>
            <w:proofErr w:type="spellStart"/>
            <w:r w:rsidRPr="00D750C0">
              <w:rPr>
                <w:sz w:val="26"/>
                <w:szCs w:val="26"/>
                <w:lang w:val="ro-RO"/>
              </w:rPr>
              <w:t>neclerical</w:t>
            </w:r>
            <w:proofErr w:type="spellEnd"/>
            <w:r>
              <w:rPr>
                <w:sz w:val="26"/>
                <w:szCs w:val="26"/>
                <w:lang w:val="ro-RO"/>
              </w:rPr>
              <w:t xml:space="preserve">, care se compun din sume defalcate din TVA și sume din venituri proprii.  </w:t>
            </w:r>
            <w:r w:rsidR="00211736" w:rsidRPr="004B07A0">
              <w:rPr>
                <w:sz w:val="26"/>
                <w:szCs w:val="26"/>
                <w:lang w:val="ro-RO"/>
              </w:rPr>
              <w:t xml:space="preserve">   </w:t>
            </w:r>
          </w:p>
        </w:tc>
      </w:tr>
      <w:tr w:rsidR="00211736" w:rsidRPr="008C03CE" w14:paraId="18286B21"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F9EFD3A" w14:textId="77777777" w:rsidR="00E00366" w:rsidRPr="00E00366" w:rsidRDefault="00E00366" w:rsidP="00E00366">
            <w:pPr>
              <w:tabs>
                <w:tab w:val="left" w:pos="0"/>
                <w:tab w:val="left" w:pos="709"/>
              </w:tabs>
              <w:autoSpaceDE w:val="0"/>
              <w:spacing w:after="0" w:line="240" w:lineRule="auto"/>
              <w:jc w:val="both"/>
              <w:rPr>
                <w:sz w:val="26"/>
                <w:szCs w:val="26"/>
                <w:lang w:val="ro-RO"/>
              </w:rPr>
            </w:pPr>
            <w:r w:rsidRPr="00E00366">
              <w:rPr>
                <w:sz w:val="26"/>
                <w:szCs w:val="26"/>
                <w:lang w:val="ro-RO"/>
              </w:rPr>
              <w:lastRenderedPageBreak/>
              <w:t xml:space="preserve">Art. XXX (1) Începând cu data de 1 iulie 2024 instituțiile publice cu personalitate juridică aflate în coordonarea/subordonarea/autoritatea autorităților publice centrale/ locale își pot desfășura activitatea dacă </w:t>
            </w:r>
            <w:r w:rsidRPr="00E00366">
              <w:rPr>
                <w:sz w:val="26"/>
                <w:szCs w:val="26"/>
                <w:lang w:val="ro-RO"/>
              </w:rPr>
              <w:lastRenderedPageBreak/>
              <w:t>îndeplinesc următoarele condiții cumulative:</w:t>
            </w:r>
          </w:p>
          <w:p w14:paraId="4F18557B" w14:textId="239057B5" w:rsidR="00211736" w:rsidRPr="00395E50" w:rsidRDefault="00E00366" w:rsidP="00E00366">
            <w:pPr>
              <w:tabs>
                <w:tab w:val="left" w:pos="0"/>
                <w:tab w:val="left" w:pos="709"/>
              </w:tabs>
              <w:autoSpaceDE w:val="0"/>
              <w:spacing w:after="0" w:line="240" w:lineRule="auto"/>
              <w:jc w:val="both"/>
              <w:rPr>
                <w:sz w:val="26"/>
                <w:szCs w:val="26"/>
                <w:lang w:val="ro-RO"/>
              </w:rPr>
            </w:pPr>
            <w:r w:rsidRPr="00E00366">
              <w:rPr>
                <w:sz w:val="26"/>
                <w:szCs w:val="26"/>
                <w:lang w:val="ro-RO"/>
              </w:rPr>
              <w:t>a)</w:t>
            </w:r>
            <w:r w:rsidRPr="00E00366">
              <w:rPr>
                <w:sz w:val="26"/>
                <w:szCs w:val="26"/>
                <w:lang w:val="ro-RO"/>
              </w:rPr>
              <w:tab/>
              <w:t>Au un număr de peste 50 de posturi aprobate conform legii și efectiv ocupate în structurile organizatorice</w:t>
            </w:r>
            <w:r>
              <w:rPr>
                <w:sz w:val="26"/>
                <w:szCs w:val="26"/>
                <w:lang w:val="ro-RO"/>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AF1BBCB" w14:textId="77777777" w:rsidR="00E00366" w:rsidRPr="00E00366" w:rsidRDefault="00E00366" w:rsidP="00E00366">
            <w:pPr>
              <w:tabs>
                <w:tab w:val="left" w:pos="0"/>
                <w:tab w:val="left" w:pos="709"/>
              </w:tabs>
              <w:autoSpaceDE w:val="0"/>
              <w:spacing w:after="0" w:line="240" w:lineRule="auto"/>
              <w:jc w:val="both"/>
              <w:rPr>
                <w:sz w:val="26"/>
                <w:szCs w:val="26"/>
                <w:lang w:val="ro-RO"/>
              </w:rPr>
            </w:pPr>
            <w:r w:rsidRPr="00E00366">
              <w:rPr>
                <w:sz w:val="26"/>
                <w:szCs w:val="26"/>
                <w:lang w:val="ro-RO"/>
              </w:rPr>
              <w:lastRenderedPageBreak/>
              <w:t xml:space="preserve">Art. XXX (1) Începând cu data de 1 iulie 2024 instituțiile publice cu personalitate juridică aflate în coordonarea/subordonarea/autoritatea autorităților publice centrale/ locale își </w:t>
            </w:r>
            <w:r w:rsidRPr="00E00366">
              <w:rPr>
                <w:sz w:val="26"/>
                <w:szCs w:val="26"/>
                <w:lang w:val="ro-RO"/>
              </w:rPr>
              <w:lastRenderedPageBreak/>
              <w:t>pot desfășura activitatea dacă îndeplinesc următoarele condiții cumulative:</w:t>
            </w:r>
          </w:p>
          <w:p w14:paraId="16230ED7" w14:textId="5AC5A627" w:rsidR="00211736" w:rsidRDefault="00E00366" w:rsidP="00E00366">
            <w:pPr>
              <w:tabs>
                <w:tab w:val="left" w:pos="0"/>
                <w:tab w:val="left" w:pos="709"/>
              </w:tabs>
              <w:autoSpaceDE w:val="0"/>
              <w:spacing w:after="0" w:line="240" w:lineRule="auto"/>
              <w:jc w:val="both"/>
              <w:rPr>
                <w:sz w:val="26"/>
                <w:szCs w:val="26"/>
                <w:lang w:val="ro-RO"/>
              </w:rPr>
            </w:pPr>
            <w:r w:rsidRPr="00E00366">
              <w:rPr>
                <w:sz w:val="26"/>
                <w:szCs w:val="26"/>
                <w:lang w:val="ro-RO"/>
              </w:rPr>
              <w:t>a)</w:t>
            </w:r>
            <w:r w:rsidRPr="00E00366">
              <w:rPr>
                <w:sz w:val="26"/>
                <w:szCs w:val="26"/>
                <w:lang w:val="ro-RO"/>
              </w:rPr>
              <w:tab/>
              <w:t xml:space="preserve">Au un număr de peste </w:t>
            </w:r>
            <w:r w:rsidRPr="00E00366">
              <w:rPr>
                <w:b/>
                <w:color w:val="FF0000"/>
                <w:sz w:val="26"/>
                <w:szCs w:val="26"/>
                <w:lang w:val="ro-RO"/>
              </w:rPr>
              <w:t>25</w:t>
            </w:r>
            <w:r w:rsidRPr="00E00366">
              <w:rPr>
                <w:sz w:val="26"/>
                <w:szCs w:val="26"/>
                <w:lang w:val="ro-RO"/>
              </w:rPr>
              <w:t xml:space="preserve"> de posturi aprobate conform legii și efectiv ocupate în structurile organizatorice</w:t>
            </w:r>
            <w:r>
              <w:rPr>
                <w:sz w:val="26"/>
                <w:szCs w:val="26"/>
                <w:lang w:val="ro-RO"/>
              </w:rPr>
              <w:t>.</w:t>
            </w:r>
          </w:p>
          <w:p w14:paraId="209A8D3F" w14:textId="77777777" w:rsidR="00E00366" w:rsidRDefault="00E00366" w:rsidP="00E00366">
            <w:pPr>
              <w:tabs>
                <w:tab w:val="left" w:pos="0"/>
                <w:tab w:val="left" w:pos="709"/>
              </w:tabs>
              <w:autoSpaceDE w:val="0"/>
              <w:spacing w:after="0" w:line="240" w:lineRule="auto"/>
              <w:jc w:val="both"/>
              <w:rPr>
                <w:sz w:val="26"/>
                <w:szCs w:val="26"/>
                <w:lang w:val="ro-RO"/>
              </w:rPr>
            </w:pPr>
          </w:p>
          <w:p w14:paraId="659AC60A" w14:textId="5DE3EF34" w:rsidR="00816FCF" w:rsidRPr="00816FCF" w:rsidRDefault="00816FCF" w:rsidP="00816FCF">
            <w:pPr>
              <w:tabs>
                <w:tab w:val="left" w:pos="0"/>
                <w:tab w:val="left" w:pos="709"/>
              </w:tabs>
              <w:autoSpaceDE w:val="0"/>
              <w:spacing w:after="0" w:line="240" w:lineRule="auto"/>
              <w:jc w:val="both"/>
              <w:rPr>
                <w:b/>
                <w:color w:val="FF0000"/>
                <w:sz w:val="26"/>
                <w:szCs w:val="26"/>
                <w:lang w:val="ro-RO"/>
              </w:rPr>
            </w:pPr>
            <w:r w:rsidRPr="00816FCF">
              <w:rPr>
                <w:b/>
                <w:color w:val="FF0000"/>
                <w:sz w:val="26"/>
                <w:szCs w:val="26"/>
                <w:lang w:val="ro-RO"/>
              </w:rPr>
              <w:t>După alin.(</w:t>
            </w:r>
            <w:r w:rsidR="00E00366">
              <w:rPr>
                <w:b/>
                <w:color w:val="FF0000"/>
                <w:sz w:val="26"/>
                <w:szCs w:val="26"/>
                <w:lang w:val="ro-RO"/>
              </w:rPr>
              <w:t>10</w:t>
            </w:r>
            <w:r w:rsidRPr="00816FCF">
              <w:rPr>
                <w:b/>
                <w:color w:val="FF0000"/>
                <w:sz w:val="26"/>
                <w:szCs w:val="26"/>
                <w:lang w:val="ro-RO"/>
              </w:rPr>
              <w:t xml:space="preserve">) din Art. </w:t>
            </w:r>
            <w:r w:rsidR="00E00366">
              <w:rPr>
                <w:b/>
                <w:color w:val="FF0000"/>
                <w:sz w:val="26"/>
                <w:szCs w:val="26"/>
                <w:lang w:val="ro-RO"/>
              </w:rPr>
              <w:t>X</w:t>
            </w:r>
            <w:r w:rsidRPr="00816FCF">
              <w:rPr>
                <w:b/>
                <w:color w:val="FF0000"/>
                <w:sz w:val="26"/>
                <w:szCs w:val="26"/>
                <w:lang w:val="ro-RO"/>
              </w:rPr>
              <w:t>XX se introduce un nou alineat care va avea următorul conținut:</w:t>
            </w:r>
          </w:p>
          <w:p w14:paraId="7DAC4C6A" w14:textId="53C1E2ED" w:rsidR="00816FCF" w:rsidRPr="00816FCF" w:rsidRDefault="00816FCF" w:rsidP="00816FCF">
            <w:pPr>
              <w:tabs>
                <w:tab w:val="left" w:pos="0"/>
                <w:tab w:val="left" w:pos="709"/>
              </w:tabs>
              <w:autoSpaceDE w:val="0"/>
              <w:spacing w:after="0" w:line="240" w:lineRule="auto"/>
              <w:jc w:val="both"/>
              <w:rPr>
                <w:b/>
                <w:color w:val="FF0000"/>
                <w:sz w:val="26"/>
                <w:szCs w:val="26"/>
                <w:lang w:val="ro-RO"/>
              </w:rPr>
            </w:pPr>
            <w:r w:rsidRPr="00816FCF">
              <w:rPr>
                <w:b/>
                <w:color w:val="FF0000"/>
                <w:sz w:val="26"/>
                <w:szCs w:val="26"/>
                <w:lang w:val="ro-RO"/>
              </w:rPr>
              <w:t>(</w:t>
            </w:r>
            <w:r w:rsidR="00B64773">
              <w:rPr>
                <w:b/>
                <w:color w:val="FF0000"/>
                <w:sz w:val="26"/>
                <w:szCs w:val="26"/>
                <w:lang w:val="ro-RO"/>
              </w:rPr>
              <w:t>10</w:t>
            </w:r>
            <w:r w:rsidR="00B64773">
              <w:rPr>
                <w:rFonts w:ascii="Arial Narrow" w:hAnsi="Arial Narrow"/>
                <w:b/>
                <w:color w:val="FF0000"/>
                <w:sz w:val="26"/>
                <w:szCs w:val="26"/>
                <w:lang w:val="ro-RO"/>
              </w:rPr>
              <w:t>^</w:t>
            </w:r>
            <w:r w:rsidR="00B64773" w:rsidRPr="00B64773">
              <w:rPr>
                <w:b/>
                <w:color w:val="FF0000"/>
                <w:sz w:val="26"/>
                <w:szCs w:val="26"/>
                <w:vertAlign w:val="superscript"/>
                <w:lang w:val="ro-RO"/>
              </w:rPr>
              <w:t>1</w:t>
            </w:r>
            <w:r w:rsidRPr="00816FCF">
              <w:rPr>
                <w:b/>
                <w:color w:val="FF0000"/>
                <w:sz w:val="26"/>
                <w:szCs w:val="26"/>
                <w:lang w:val="ro-RO"/>
              </w:rPr>
              <w:t xml:space="preserve">) Prevederile </w:t>
            </w:r>
            <w:r w:rsidR="00B64773">
              <w:rPr>
                <w:b/>
                <w:color w:val="FF0000"/>
                <w:sz w:val="26"/>
                <w:szCs w:val="26"/>
                <w:lang w:val="ro-RO"/>
              </w:rPr>
              <w:t xml:space="preserve">acestui </w:t>
            </w:r>
            <w:r w:rsidRPr="00816FCF">
              <w:rPr>
                <w:b/>
                <w:color w:val="FF0000"/>
                <w:sz w:val="26"/>
                <w:szCs w:val="26"/>
                <w:lang w:val="ro-RO"/>
              </w:rPr>
              <w:t>articol</w:t>
            </w:r>
            <w:r w:rsidR="00B64773">
              <w:rPr>
                <w:b/>
                <w:color w:val="FF0000"/>
                <w:sz w:val="26"/>
                <w:szCs w:val="26"/>
                <w:lang w:val="ro-RO"/>
              </w:rPr>
              <w:t xml:space="preserve">ul </w:t>
            </w:r>
            <w:r w:rsidRPr="00816FCF">
              <w:rPr>
                <w:b/>
                <w:color w:val="FF0000"/>
                <w:sz w:val="26"/>
                <w:szCs w:val="26"/>
                <w:lang w:val="ro-RO"/>
              </w:rPr>
              <w:t xml:space="preserve"> nu se aplică instituțiilor și serviciilor din subordinea autorității administrației publice locale înființate în temeiul unor legi speciale și care desfășoară activități care nu se suprapun peste sau sunt similare cu alte activități desfășurate de alte instituții publice cu obiect de activitate același sau similar, după cum urmează:</w:t>
            </w:r>
          </w:p>
          <w:p w14:paraId="55FC7618" w14:textId="77777777" w:rsidR="00816FCF" w:rsidRPr="00816FCF" w:rsidRDefault="00816FCF" w:rsidP="00816FCF">
            <w:pPr>
              <w:tabs>
                <w:tab w:val="left" w:pos="0"/>
                <w:tab w:val="left" w:pos="709"/>
              </w:tabs>
              <w:autoSpaceDE w:val="0"/>
              <w:spacing w:after="0" w:line="240" w:lineRule="auto"/>
              <w:jc w:val="both"/>
              <w:rPr>
                <w:b/>
                <w:color w:val="FF0000"/>
                <w:sz w:val="26"/>
                <w:szCs w:val="26"/>
                <w:lang w:val="ro-RO"/>
              </w:rPr>
            </w:pPr>
            <w:r w:rsidRPr="00816FCF">
              <w:rPr>
                <w:b/>
                <w:color w:val="FF0000"/>
                <w:sz w:val="26"/>
                <w:szCs w:val="26"/>
                <w:lang w:val="ro-RO"/>
              </w:rPr>
              <w:t>a) biblioteci județene;</w:t>
            </w:r>
          </w:p>
          <w:p w14:paraId="514B4CA9" w14:textId="77777777" w:rsidR="00816FCF" w:rsidRDefault="00816FCF" w:rsidP="00816FCF">
            <w:pPr>
              <w:tabs>
                <w:tab w:val="left" w:pos="0"/>
                <w:tab w:val="left" w:pos="709"/>
              </w:tabs>
              <w:autoSpaceDE w:val="0"/>
              <w:spacing w:after="0" w:line="240" w:lineRule="auto"/>
              <w:jc w:val="both"/>
              <w:rPr>
                <w:b/>
                <w:color w:val="FF0000"/>
                <w:sz w:val="26"/>
                <w:szCs w:val="26"/>
                <w:lang w:val="ro-RO"/>
              </w:rPr>
            </w:pPr>
            <w:r w:rsidRPr="00816FCF">
              <w:rPr>
                <w:b/>
                <w:color w:val="FF0000"/>
                <w:sz w:val="26"/>
                <w:szCs w:val="26"/>
                <w:lang w:val="ro-RO"/>
              </w:rPr>
              <w:t>b) servicii publice comunitare judeţene de evidenţă a persoanelor din subordinea consiliilor județene;</w:t>
            </w:r>
          </w:p>
          <w:p w14:paraId="43D3DDD6" w14:textId="3E9697CD" w:rsidR="00816FCF" w:rsidRDefault="00816FCF" w:rsidP="00816FCF">
            <w:pPr>
              <w:tabs>
                <w:tab w:val="left" w:pos="0"/>
                <w:tab w:val="left" w:pos="709"/>
              </w:tabs>
              <w:autoSpaceDE w:val="0"/>
              <w:spacing w:after="0" w:line="240" w:lineRule="auto"/>
              <w:jc w:val="both"/>
              <w:rPr>
                <w:b/>
                <w:color w:val="FF0000"/>
                <w:sz w:val="26"/>
                <w:szCs w:val="26"/>
                <w:lang w:val="ro-RO"/>
              </w:rPr>
            </w:pPr>
            <w:r>
              <w:rPr>
                <w:b/>
                <w:color w:val="FF0000"/>
                <w:sz w:val="26"/>
                <w:szCs w:val="26"/>
                <w:lang w:val="ro-RO"/>
              </w:rPr>
              <w:t>c) servicii publice de salvamont-</w:t>
            </w:r>
            <w:proofErr w:type="spellStart"/>
            <w:r>
              <w:rPr>
                <w:b/>
                <w:color w:val="FF0000"/>
                <w:sz w:val="26"/>
                <w:szCs w:val="26"/>
                <w:lang w:val="ro-RO"/>
              </w:rPr>
              <w:t>salvaspeo</w:t>
            </w:r>
            <w:proofErr w:type="spellEnd"/>
            <w:r w:rsidRPr="00816FCF">
              <w:rPr>
                <w:b/>
                <w:color w:val="FF0000"/>
                <w:sz w:val="26"/>
                <w:szCs w:val="26"/>
                <w:lang w:val="ro-RO"/>
              </w:rPr>
              <w:t>;</w:t>
            </w:r>
          </w:p>
          <w:p w14:paraId="73943E0D" w14:textId="69892BBA" w:rsidR="00816FCF" w:rsidRPr="00395E50" w:rsidRDefault="00816FCF" w:rsidP="00B64773">
            <w:pPr>
              <w:tabs>
                <w:tab w:val="left" w:pos="0"/>
                <w:tab w:val="left" w:pos="709"/>
              </w:tabs>
              <w:autoSpaceDE w:val="0"/>
              <w:spacing w:after="0" w:line="240" w:lineRule="auto"/>
              <w:jc w:val="both"/>
              <w:rPr>
                <w:sz w:val="26"/>
                <w:szCs w:val="26"/>
                <w:lang w:val="ro-RO"/>
              </w:rPr>
            </w:pPr>
            <w:r>
              <w:rPr>
                <w:b/>
                <w:color w:val="FF0000"/>
                <w:sz w:val="26"/>
                <w:szCs w:val="26"/>
                <w:lang w:val="ro-RO"/>
              </w:rPr>
              <w:t xml:space="preserve">d) servicii publice județene </w:t>
            </w:r>
            <w:r>
              <w:rPr>
                <w:b/>
                <w:color w:val="FF0000"/>
                <w:sz w:val="26"/>
                <w:szCs w:val="26"/>
                <w:lang w:val="ro-RO"/>
              </w:rPr>
              <w:lastRenderedPageBreak/>
              <w:t>de pază și protecție</w:t>
            </w:r>
            <w:r w:rsidRPr="00816FCF">
              <w:rPr>
                <w:b/>
                <w:color w:val="FF0000"/>
                <w:sz w:val="26"/>
                <w:szCs w:val="26"/>
                <w:lang w:val="ro-RO"/>
              </w:rPr>
              <w:t>.</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63FE04B0" w14:textId="77777777" w:rsidR="00816FCF" w:rsidRDefault="00D761F9" w:rsidP="005C60F9">
            <w:pPr>
              <w:autoSpaceDE w:val="0"/>
              <w:autoSpaceDN w:val="0"/>
              <w:adjustRightInd w:val="0"/>
              <w:spacing w:after="0" w:line="240" w:lineRule="auto"/>
              <w:rPr>
                <w:sz w:val="26"/>
                <w:szCs w:val="26"/>
                <w:lang w:val="ro-RO"/>
              </w:rPr>
            </w:pPr>
            <w:r w:rsidRPr="00D761F9">
              <w:rPr>
                <w:sz w:val="26"/>
                <w:szCs w:val="26"/>
                <w:lang w:val="ro-RO"/>
              </w:rPr>
              <w:lastRenderedPageBreak/>
              <w:t>Instituțiile</w:t>
            </w:r>
            <w:r>
              <w:rPr>
                <w:sz w:val="26"/>
                <w:szCs w:val="26"/>
                <w:lang w:val="ro-RO"/>
              </w:rPr>
              <w:t xml:space="preserve"> sub autoritatea consiliilor locale/județene, mai ales cele culturale sunt cu o activitate specifică cu un număr de personal redus cu atribuții specifice (actor, muzeolog, bibliotecar, etc). Comasarea acestor instituții cu </w:t>
            </w:r>
            <w:r>
              <w:rPr>
                <w:sz w:val="26"/>
                <w:szCs w:val="26"/>
                <w:lang w:val="ro-RO"/>
              </w:rPr>
              <w:lastRenderedPageBreak/>
              <w:t>diverse activități este greu de realizat.</w:t>
            </w:r>
          </w:p>
          <w:p w14:paraId="55D1D419" w14:textId="77777777" w:rsidR="00816FCF" w:rsidRDefault="00816FCF" w:rsidP="005C60F9">
            <w:pPr>
              <w:autoSpaceDE w:val="0"/>
              <w:autoSpaceDN w:val="0"/>
              <w:adjustRightInd w:val="0"/>
              <w:spacing w:after="0" w:line="240" w:lineRule="auto"/>
              <w:rPr>
                <w:sz w:val="26"/>
                <w:szCs w:val="26"/>
                <w:lang w:val="ro-RO"/>
              </w:rPr>
            </w:pPr>
          </w:p>
          <w:p w14:paraId="6DC29E91" w14:textId="77777777" w:rsidR="00816FCF" w:rsidRPr="00164E7B" w:rsidRDefault="00816FCF"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sidRPr="00164E7B">
              <w:rPr>
                <w:rFonts w:ascii="Trebuchet MS" w:eastAsiaTheme="minorHAnsi" w:hAnsi="Trebuchet MS" w:cs="Times New Roman"/>
                <w:sz w:val="24"/>
                <w:szCs w:val="24"/>
                <w:lang w:val="ro-RO"/>
              </w:rPr>
              <w:t>În conformitate cu prevederile art. 173 din O.U.G. nr.57/2019 privind Codul Administrativ, consiliile județene au atribuții privind gestionarea serviciilor publice de interes județean privind: cultură, tineret, sport, evidența persoanelor etc. Aceste servicii publice sunt înființate, organizate și funcționează în temeiul legislației specifice.</w:t>
            </w:r>
          </w:p>
          <w:p w14:paraId="5E4A188F" w14:textId="77777777" w:rsidR="00816FCF" w:rsidRPr="00164E7B" w:rsidRDefault="00816FCF"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sidRPr="00164E7B">
              <w:rPr>
                <w:rFonts w:ascii="Trebuchet MS" w:eastAsiaTheme="minorHAnsi" w:hAnsi="Trebuchet MS" w:cs="Times New Roman"/>
                <w:sz w:val="24"/>
                <w:szCs w:val="24"/>
                <w:lang w:val="ro-RO"/>
              </w:rPr>
              <w:t>De exemplu:</w:t>
            </w:r>
          </w:p>
          <w:p w14:paraId="5B9D17C4" w14:textId="45B0646A" w:rsidR="00816FCF" w:rsidRPr="00164E7B" w:rsidRDefault="00816FCF"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sidRPr="00164E7B">
              <w:rPr>
                <w:rFonts w:ascii="Trebuchet MS" w:eastAsiaTheme="minorHAnsi" w:hAnsi="Trebuchet MS" w:cs="Times New Roman"/>
                <w:sz w:val="24"/>
                <w:szCs w:val="24"/>
                <w:lang w:val="ro-RO"/>
              </w:rPr>
              <w:t>1. Legea   nr.334/2002, Legea bibliotecilor, republicată, cu modificările și completările ulterioare, Art.27 alin. (</w:t>
            </w:r>
            <w:r>
              <w:rPr>
                <w:rFonts w:ascii="Trebuchet MS" w:eastAsiaTheme="minorHAnsi" w:hAnsi="Trebuchet MS" w:cs="Times New Roman"/>
                <w:sz w:val="24"/>
                <w:szCs w:val="24"/>
                <w:lang w:val="ro-RO"/>
              </w:rPr>
              <w:t>2</w:t>
            </w:r>
            <w:r w:rsidRPr="00164E7B">
              <w:rPr>
                <w:rFonts w:ascii="Trebuchet MS" w:eastAsiaTheme="minorHAnsi" w:hAnsi="Trebuchet MS" w:cs="Times New Roman"/>
                <w:sz w:val="24"/>
                <w:szCs w:val="24"/>
                <w:lang w:val="ro-RO"/>
              </w:rPr>
              <w:t>)</w:t>
            </w:r>
            <w:r w:rsidR="00744E9D">
              <w:rPr>
                <w:rFonts w:ascii="Trebuchet MS" w:eastAsiaTheme="minorHAnsi" w:hAnsi="Trebuchet MS" w:cs="Times New Roman"/>
                <w:sz w:val="24"/>
                <w:szCs w:val="24"/>
                <w:lang w:val="ro-RO"/>
              </w:rPr>
              <w:t xml:space="preserve"> </w:t>
            </w:r>
            <w:r w:rsidR="00744E9D" w:rsidRPr="00744E9D">
              <w:rPr>
                <w:rFonts w:ascii="Trebuchet MS" w:eastAsiaTheme="minorHAnsi" w:hAnsi="Trebuchet MS" w:cs="Times New Roman"/>
                <w:i/>
                <w:sz w:val="24"/>
                <w:szCs w:val="24"/>
                <w:lang w:val="ro-RO"/>
              </w:rPr>
              <w:t>Bibliotecile judeţene se organizează şi funcţionează în toate municipiile reşedinţă de judeţ, în subordinea consiliilor judeţene.</w:t>
            </w:r>
          </w:p>
          <w:p w14:paraId="34A590AC" w14:textId="77777777" w:rsidR="00816FCF" w:rsidRPr="00164E7B" w:rsidRDefault="00816FCF"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sidRPr="00164E7B">
              <w:rPr>
                <w:rFonts w:ascii="Trebuchet MS" w:eastAsiaTheme="minorHAnsi" w:hAnsi="Trebuchet MS" w:cs="Times New Roman"/>
                <w:sz w:val="24"/>
                <w:szCs w:val="24"/>
                <w:lang w:val="ro-RO"/>
              </w:rPr>
              <w:t xml:space="preserve">2. Ordonanţa Guvernului nr.84/2001 privind înfiinţarea, organizarea şi funcţionarea serviciilor publice comunitare de evidenţă a persoanelor, cu modificările și completările ulterioare, Art.6 alin.(1) </w:t>
            </w:r>
            <w:r w:rsidRPr="00164E7B">
              <w:rPr>
                <w:rFonts w:ascii="Trebuchet MS" w:eastAsiaTheme="minorHAnsi" w:hAnsi="Trebuchet MS" w:cs="Times New Roman"/>
                <w:i/>
                <w:iCs/>
                <w:sz w:val="24"/>
                <w:szCs w:val="24"/>
                <w:lang w:val="ro-RO"/>
              </w:rPr>
              <w:t xml:space="preserve">se înfiinţează, în subordinea consiliilor judeţene, servicii publice comunitare judeţene de evidenţă a persoanelor, denumite în continuare servicii publice comunitare judeţene, prin reorganizarea serviciilor de stare civilă din </w:t>
            </w:r>
            <w:r w:rsidRPr="00164E7B">
              <w:rPr>
                <w:rFonts w:ascii="Trebuchet MS" w:eastAsiaTheme="minorHAnsi" w:hAnsi="Trebuchet MS" w:cs="Times New Roman"/>
                <w:i/>
                <w:iCs/>
                <w:sz w:val="24"/>
                <w:szCs w:val="24"/>
                <w:lang w:val="ro-RO"/>
              </w:rPr>
              <w:lastRenderedPageBreak/>
              <w:t>aparatul propriu al consiliilor judeţene, precum şi a birourilor judeţene de evidenţă a populaţiei din cadrul serviciilor judeţene de evidenţă informatizată a persoanei.</w:t>
            </w:r>
          </w:p>
          <w:p w14:paraId="20045F24" w14:textId="4F6B67CD" w:rsidR="00435294" w:rsidRDefault="00435294"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Pr>
                <w:rFonts w:ascii="Trebuchet MS" w:eastAsiaTheme="minorHAnsi" w:hAnsi="Trebuchet MS" w:cs="Times New Roman"/>
                <w:sz w:val="24"/>
                <w:szCs w:val="24"/>
                <w:lang w:val="ro-RO"/>
              </w:rPr>
              <w:t xml:space="preserve">3. Hotărârea Guvernului nr. 77/2003 privind instituirea unor măsuri pentru prevenirea accidentelor montane și organizarea activității de salvare în munți, Art. 2: </w:t>
            </w:r>
            <w:r w:rsidRPr="00435294">
              <w:rPr>
                <w:rFonts w:ascii="Trebuchet MS" w:eastAsiaTheme="minorHAnsi" w:hAnsi="Trebuchet MS" w:cs="Times New Roman"/>
                <w:i/>
                <w:sz w:val="24"/>
                <w:szCs w:val="24"/>
                <w:lang w:val="ro-RO"/>
              </w:rPr>
              <w:t>Consiliile judeţene în a căror rază administrativ-teritorială se află trasee montane şi/sau pârtii de schi organizează servicii publice judeţene SALVAMONT care coordonează activitatea de prevenire a accidentelor montane şi de salvare în munţi a persoanelor accidentate şi a bolnavilor.</w:t>
            </w:r>
            <w:r>
              <w:rPr>
                <w:rFonts w:ascii="Trebuchet MS" w:eastAsiaTheme="minorHAnsi" w:hAnsi="Trebuchet MS" w:cs="Times New Roman"/>
                <w:sz w:val="24"/>
                <w:szCs w:val="24"/>
                <w:lang w:val="ro-RO"/>
              </w:rPr>
              <w:t xml:space="preserve"> </w:t>
            </w:r>
          </w:p>
          <w:p w14:paraId="1B091FC9" w14:textId="5FE49C19" w:rsidR="00744E9D" w:rsidRDefault="00435294"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Pr>
                <w:rFonts w:ascii="Trebuchet MS" w:eastAsiaTheme="minorHAnsi" w:hAnsi="Trebuchet MS" w:cs="Times New Roman"/>
                <w:sz w:val="24"/>
                <w:szCs w:val="24"/>
                <w:lang w:val="ro-RO"/>
              </w:rPr>
              <w:t>4</w:t>
            </w:r>
            <w:r w:rsidR="00744E9D">
              <w:rPr>
                <w:rFonts w:ascii="Trebuchet MS" w:eastAsiaTheme="minorHAnsi" w:hAnsi="Trebuchet MS" w:cs="Times New Roman"/>
                <w:sz w:val="24"/>
                <w:szCs w:val="24"/>
                <w:lang w:val="ro-RO"/>
              </w:rPr>
              <w:t>. Legea 333/2023 privind paza obiectivelor, bunurilor, valorilor și protecția persoanelor, Art. 2, alin (1)</w:t>
            </w:r>
          </w:p>
          <w:p w14:paraId="50BB069B" w14:textId="4F12BDAB" w:rsidR="00744E9D" w:rsidRPr="00435294" w:rsidRDefault="00435294" w:rsidP="00816FCF">
            <w:pPr>
              <w:autoSpaceDE w:val="0"/>
              <w:autoSpaceDN w:val="0"/>
              <w:adjustRightInd w:val="0"/>
              <w:spacing w:after="0" w:line="240" w:lineRule="auto"/>
              <w:contextualSpacing/>
              <w:jc w:val="both"/>
              <w:rPr>
                <w:rFonts w:ascii="Trebuchet MS" w:eastAsiaTheme="minorHAnsi" w:hAnsi="Trebuchet MS" w:cs="Times New Roman"/>
                <w:i/>
                <w:sz w:val="24"/>
                <w:szCs w:val="24"/>
                <w:lang w:val="ro-RO"/>
              </w:rPr>
            </w:pPr>
            <w:r w:rsidRPr="00435294">
              <w:rPr>
                <w:rFonts w:ascii="Trebuchet MS" w:eastAsiaTheme="minorHAnsi" w:hAnsi="Trebuchet MS" w:cs="Times New Roman"/>
                <w:i/>
                <w:sz w:val="24"/>
                <w:szCs w:val="24"/>
                <w:lang w:val="ro-RO"/>
              </w:rPr>
              <w:t>Ministerele şi celelalte organe de specialitate ale administraţiei publice centrale şi locale... precum şi alte organizaţii care deţin bunuri ori valori cu orice titlu, denumite în prezenta lege unităţi, sunt obligate să asigure paza acestora.</w:t>
            </w:r>
          </w:p>
          <w:p w14:paraId="32F64B6F" w14:textId="77777777" w:rsidR="00816FCF" w:rsidRPr="00164E7B" w:rsidRDefault="00816FCF"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p>
          <w:p w14:paraId="2DB89EB1" w14:textId="4E5F6FB6" w:rsidR="00816FCF" w:rsidRPr="00164E7B" w:rsidRDefault="00816FCF"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sidRPr="00164E7B">
              <w:rPr>
                <w:rFonts w:ascii="Trebuchet MS" w:eastAsiaTheme="minorHAnsi" w:hAnsi="Trebuchet MS" w:cs="Times New Roman"/>
                <w:sz w:val="24"/>
                <w:szCs w:val="24"/>
                <w:lang w:val="ro-RO"/>
              </w:rPr>
              <w:t xml:space="preserve">Având în vedere principiul autonomiei locale consacrat de Constituție, dispoziţiile </w:t>
            </w:r>
            <w:r w:rsidRPr="00164E7B">
              <w:rPr>
                <w:rFonts w:ascii="Trebuchet MS" w:eastAsiaTheme="minorHAnsi" w:hAnsi="Trebuchet MS" w:cs="Times New Roman"/>
                <w:sz w:val="24"/>
                <w:szCs w:val="24"/>
                <w:lang w:val="ro-RO"/>
              </w:rPr>
              <w:lastRenderedPageBreak/>
              <w:t xml:space="preserve">art. 115 alin.(6) din Constituţie, precum și considerentele reținute de Curtea Constituțională în Decizia nr.55/2014 </w:t>
            </w:r>
            <w:r w:rsidRPr="00164E7B">
              <w:rPr>
                <w:rFonts w:ascii="Trebuchet MS" w:eastAsiaTheme="minorHAnsi" w:hAnsi="Trebuchet MS" w:cs="Times New Roman"/>
                <w:i/>
                <w:iCs/>
                <w:sz w:val="24"/>
                <w:szCs w:val="24"/>
                <w:lang w:val="ro-RO"/>
              </w:rPr>
              <w:t xml:space="preserve">referitoare la obiecţia de neconstituţionalitate a dispoziţiilor Legii privind aprobarea O.U.G. nr.77/2013 pentru stabilirea unor măsuri privind asigurarea funcţionalităţii administraţiei publice locale, a numărului de posturi şi reducerea cheltuielilor la instituţiile şi autorităţile publice din subordinea, sub autoritatea sau în coordonarea Guvernului ori a ministerelor, </w:t>
            </w:r>
            <w:r w:rsidRPr="00164E7B">
              <w:rPr>
                <w:rFonts w:ascii="Trebuchet MS" w:eastAsiaTheme="minorHAnsi" w:hAnsi="Trebuchet MS" w:cs="Times New Roman"/>
                <w:sz w:val="24"/>
                <w:szCs w:val="24"/>
                <w:lang w:val="ro-RO"/>
              </w:rPr>
              <w:t>prevederile</w:t>
            </w:r>
            <w:r w:rsidRPr="00164E7B">
              <w:rPr>
                <w:rFonts w:ascii="Trebuchet MS" w:eastAsiaTheme="minorHAnsi" w:hAnsi="Trebuchet MS" w:cs="Times New Roman"/>
                <w:i/>
                <w:iCs/>
                <w:sz w:val="24"/>
                <w:szCs w:val="24"/>
                <w:lang w:val="ro-RO"/>
              </w:rPr>
              <w:t xml:space="preserve"> </w:t>
            </w:r>
            <w:r w:rsidRPr="00164E7B">
              <w:rPr>
                <w:rFonts w:ascii="Trebuchet MS" w:eastAsia="Calibri" w:hAnsi="Trebuchet MS"/>
                <w:b/>
                <w:sz w:val="24"/>
                <w:szCs w:val="24"/>
                <w:lang w:val="ro-RO"/>
              </w:rPr>
              <w:t>Art. XX</w:t>
            </w:r>
            <w:r w:rsidR="00B64773">
              <w:rPr>
                <w:rFonts w:ascii="Trebuchet MS" w:eastAsia="Calibri" w:hAnsi="Trebuchet MS"/>
                <w:b/>
                <w:sz w:val="24"/>
                <w:szCs w:val="24"/>
                <w:lang w:val="ro-RO"/>
              </w:rPr>
              <w:t>X</w:t>
            </w:r>
            <w:r w:rsidRPr="00164E7B">
              <w:rPr>
                <w:rFonts w:ascii="Trebuchet MS" w:eastAsia="Calibri" w:hAnsi="Trebuchet MS"/>
                <w:sz w:val="24"/>
                <w:szCs w:val="24"/>
                <w:lang w:val="ro-RO"/>
              </w:rPr>
              <w:t xml:space="preserve"> </w:t>
            </w:r>
            <w:r w:rsidRPr="00164E7B">
              <w:rPr>
                <w:rFonts w:ascii="Trebuchet MS" w:eastAsia="Calibri" w:hAnsi="Trebuchet MS"/>
                <w:b/>
                <w:sz w:val="24"/>
                <w:szCs w:val="24"/>
                <w:lang w:val="ro-RO"/>
              </w:rPr>
              <w:t>(1)</w:t>
            </w:r>
            <w:r w:rsidRPr="00164E7B">
              <w:rPr>
                <w:rFonts w:ascii="Trebuchet MS" w:eastAsia="Calibri" w:hAnsi="Trebuchet MS"/>
                <w:sz w:val="24"/>
                <w:szCs w:val="24"/>
                <w:lang w:val="ro-RO"/>
              </w:rPr>
              <w:t xml:space="preserve"> </w:t>
            </w:r>
            <w:proofErr w:type="spellStart"/>
            <w:r w:rsidRPr="00164E7B">
              <w:rPr>
                <w:rFonts w:ascii="Trebuchet MS" w:eastAsia="Calibri" w:hAnsi="Trebuchet MS"/>
                <w:sz w:val="24"/>
                <w:szCs w:val="24"/>
                <w:lang w:val="ro-RO"/>
              </w:rPr>
              <w:t>lit.a</w:t>
            </w:r>
            <w:proofErr w:type="spellEnd"/>
            <w:r w:rsidRPr="00164E7B">
              <w:rPr>
                <w:rFonts w:ascii="Trebuchet MS" w:eastAsiaTheme="minorHAnsi" w:hAnsi="Trebuchet MS" w:cs="Times New Roman"/>
                <w:sz w:val="24"/>
                <w:szCs w:val="24"/>
                <w:lang w:val="ro-RO"/>
              </w:rPr>
              <w:t xml:space="preserve"> din proiectul de ordonanță de urgență sunt de natură a afecta principiul autonomiei locale și regimul autorităţilor administraţiei publice locale.</w:t>
            </w:r>
          </w:p>
          <w:p w14:paraId="191D67EB" w14:textId="3E4D7D99" w:rsidR="00211736" w:rsidRPr="00D761F9" w:rsidRDefault="00816FCF" w:rsidP="00816FCF">
            <w:pPr>
              <w:autoSpaceDE w:val="0"/>
              <w:autoSpaceDN w:val="0"/>
              <w:adjustRightInd w:val="0"/>
              <w:spacing w:after="0" w:line="240" w:lineRule="auto"/>
              <w:rPr>
                <w:sz w:val="26"/>
                <w:szCs w:val="26"/>
                <w:lang w:val="ro-RO"/>
              </w:rPr>
            </w:pPr>
            <w:r w:rsidRPr="00164E7B">
              <w:rPr>
                <w:rFonts w:ascii="Trebuchet MS" w:eastAsiaTheme="minorHAnsi" w:hAnsi="Trebuchet MS" w:cs="Times New Roman"/>
                <w:sz w:val="24"/>
                <w:szCs w:val="24"/>
                <w:lang w:val="ro-RO"/>
              </w:rPr>
              <w:t xml:space="preserve">Deși legislația specifică nu prevede un număr minim de posturi, prin reglementarea de la </w:t>
            </w:r>
            <w:proofErr w:type="spellStart"/>
            <w:r w:rsidRPr="00164E7B">
              <w:rPr>
                <w:rFonts w:ascii="Trebuchet MS" w:eastAsiaTheme="minorHAnsi" w:hAnsi="Trebuchet MS" w:cs="Times New Roman"/>
                <w:sz w:val="24"/>
                <w:szCs w:val="24"/>
                <w:lang w:val="ro-RO"/>
              </w:rPr>
              <w:t>art.XX</w:t>
            </w:r>
            <w:r w:rsidR="00B64773">
              <w:rPr>
                <w:rFonts w:ascii="Trebuchet MS" w:eastAsiaTheme="minorHAnsi" w:hAnsi="Trebuchet MS" w:cs="Times New Roman"/>
                <w:sz w:val="24"/>
                <w:szCs w:val="24"/>
                <w:lang w:val="ro-RO"/>
              </w:rPr>
              <w:t>X</w:t>
            </w:r>
            <w:proofErr w:type="spellEnd"/>
            <w:r w:rsidRPr="00164E7B">
              <w:rPr>
                <w:rFonts w:ascii="Trebuchet MS" w:eastAsiaTheme="minorHAnsi" w:hAnsi="Trebuchet MS" w:cs="Times New Roman"/>
                <w:sz w:val="24"/>
                <w:szCs w:val="24"/>
                <w:lang w:val="ro-RO"/>
              </w:rPr>
              <w:t xml:space="preserve"> alin.(1) </w:t>
            </w:r>
            <w:proofErr w:type="spellStart"/>
            <w:r w:rsidRPr="00164E7B">
              <w:rPr>
                <w:rFonts w:ascii="Trebuchet MS" w:eastAsiaTheme="minorHAnsi" w:hAnsi="Trebuchet MS" w:cs="Times New Roman"/>
                <w:sz w:val="24"/>
                <w:szCs w:val="24"/>
                <w:lang w:val="ro-RO"/>
              </w:rPr>
              <w:t>lit.a</w:t>
            </w:r>
            <w:proofErr w:type="spellEnd"/>
            <w:r w:rsidRPr="00164E7B">
              <w:rPr>
                <w:rFonts w:ascii="Trebuchet MS" w:eastAsiaTheme="minorHAnsi" w:hAnsi="Trebuchet MS" w:cs="Times New Roman"/>
                <w:sz w:val="24"/>
                <w:szCs w:val="24"/>
                <w:lang w:val="ro-RO"/>
              </w:rPr>
              <w:t>),</w:t>
            </w:r>
            <w:r w:rsidRPr="00164E7B">
              <w:rPr>
                <w:rFonts w:ascii="Trebuchet MS" w:eastAsiaTheme="minorHAnsi" w:hAnsi="Trebuchet MS" w:cs="Times New Roman"/>
                <w:color w:val="FF0000"/>
                <w:sz w:val="24"/>
                <w:szCs w:val="24"/>
                <w:lang w:val="ro-RO"/>
              </w:rPr>
              <w:t xml:space="preserve"> </w:t>
            </w:r>
            <w:r w:rsidRPr="00164E7B">
              <w:rPr>
                <w:rFonts w:ascii="Trebuchet MS" w:eastAsiaTheme="minorHAnsi" w:hAnsi="Trebuchet MS" w:cs="Times New Roman"/>
                <w:sz w:val="24"/>
                <w:szCs w:val="24"/>
                <w:lang w:val="ro-RO"/>
              </w:rPr>
              <w:t xml:space="preserve">autoritățile administrației publice locale sunt obligate să desființeze instituții publice și servicii publice din subordine care nu au un număr de minim 50 de posturi, deși activitățile desfășurate de către acestea nu se suprapun peste sau sunt similare cu alte activități desfășurate de alte instituții publice cu obiect de activitate același sau similar, </w:t>
            </w:r>
            <w:r w:rsidRPr="00164E7B">
              <w:rPr>
                <w:rFonts w:ascii="Trebuchet MS" w:eastAsiaTheme="minorHAnsi" w:hAnsi="Trebuchet MS" w:cs="Times New Roman"/>
                <w:sz w:val="24"/>
                <w:szCs w:val="24"/>
                <w:lang w:val="ro-RO"/>
              </w:rPr>
              <w:lastRenderedPageBreak/>
              <w:t>fiind contrar competențelor conferite prin Constituție, Codul administrativ și alte legi speciale.</w:t>
            </w:r>
            <w:r w:rsidR="00D761F9">
              <w:rPr>
                <w:sz w:val="26"/>
                <w:szCs w:val="26"/>
                <w:lang w:val="ro-RO"/>
              </w:rPr>
              <w:t xml:space="preserve"> </w:t>
            </w:r>
          </w:p>
        </w:tc>
      </w:tr>
    </w:tbl>
    <w:p w14:paraId="0676CE5F" w14:textId="6429683A" w:rsidR="004754EC" w:rsidRPr="003A3E0C" w:rsidRDefault="004754EC" w:rsidP="005C60F9">
      <w:pPr>
        <w:spacing w:after="0" w:line="240" w:lineRule="auto"/>
        <w:rPr>
          <w:rFonts w:cs="Times New Roman"/>
        </w:rPr>
      </w:pPr>
    </w:p>
    <w:sectPr w:rsidR="004754EC" w:rsidRPr="003A3E0C" w:rsidSect="00660ED6">
      <w:headerReference w:type="default" r:id="rId6"/>
      <w:footerReference w:type="default" r:id="rId7"/>
      <w:pgSz w:w="12240" w:h="15840"/>
      <w:pgMar w:top="2127" w:right="758" w:bottom="1843" w:left="1440"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CFDD" w14:textId="77777777" w:rsidR="0033388D" w:rsidRDefault="0033388D">
      <w:pPr>
        <w:spacing w:after="0" w:line="240" w:lineRule="auto"/>
      </w:pPr>
      <w:r>
        <w:separator/>
      </w:r>
    </w:p>
  </w:endnote>
  <w:endnote w:type="continuationSeparator" w:id="0">
    <w:p w14:paraId="1F9D8095" w14:textId="77777777" w:rsidR="0033388D" w:rsidRDefault="0033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51D3" w14:textId="353D32BC" w:rsidR="00CD4F17" w:rsidRDefault="0001672A">
    <w:pPr>
      <w:pStyle w:val="Header"/>
      <w:tabs>
        <w:tab w:val="left" w:pos="3261"/>
        <w:tab w:val="left" w:pos="10065"/>
      </w:tabs>
      <w:jc w:val="both"/>
      <w:rPr>
        <w:color w:val="404040"/>
        <w:sz w:val="20"/>
        <w:szCs w:val="20"/>
        <w:lang w:val="hu-HU"/>
      </w:rPr>
    </w:pPr>
    <w:r>
      <w:rPr>
        <w:color w:val="404040"/>
        <w:sz w:val="20"/>
        <w:szCs w:val="20"/>
        <w:lang w:val="hu-H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4A26" w14:textId="77777777" w:rsidR="0033388D" w:rsidRDefault="0033388D">
      <w:pPr>
        <w:spacing w:after="0" w:line="240" w:lineRule="auto"/>
      </w:pPr>
      <w:r>
        <w:separator/>
      </w:r>
    </w:p>
  </w:footnote>
  <w:footnote w:type="continuationSeparator" w:id="0">
    <w:p w14:paraId="5302C84E" w14:textId="77777777" w:rsidR="0033388D" w:rsidRDefault="00333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D54B" w14:textId="565BDAFA" w:rsidR="00CD4F17" w:rsidRDefault="0001672A">
    <w:pPr>
      <w:pStyle w:val="Header"/>
      <w:tabs>
        <w:tab w:val="left" w:pos="2905"/>
      </w:tabs>
    </w:pPr>
    <w:r>
      <w:tab/>
    </w:r>
  </w:p>
  <w:p w14:paraId="0A207850" w14:textId="77777777" w:rsidR="00CD4F17" w:rsidRDefault="00CD4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17"/>
    <w:rsid w:val="0001672A"/>
    <w:rsid w:val="00021539"/>
    <w:rsid w:val="000324BC"/>
    <w:rsid w:val="00086680"/>
    <w:rsid w:val="000F00A0"/>
    <w:rsid w:val="00125117"/>
    <w:rsid w:val="00185947"/>
    <w:rsid w:val="001C40D4"/>
    <w:rsid w:val="00211736"/>
    <w:rsid w:val="00216651"/>
    <w:rsid w:val="002509AA"/>
    <w:rsid w:val="00280DB5"/>
    <w:rsid w:val="002A3AB5"/>
    <w:rsid w:val="002B5E33"/>
    <w:rsid w:val="003077B9"/>
    <w:rsid w:val="00320257"/>
    <w:rsid w:val="0033388D"/>
    <w:rsid w:val="00395E50"/>
    <w:rsid w:val="003A3E0C"/>
    <w:rsid w:val="003B1BAE"/>
    <w:rsid w:val="003F4495"/>
    <w:rsid w:val="0040687E"/>
    <w:rsid w:val="00435294"/>
    <w:rsid w:val="004754EC"/>
    <w:rsid w:val="004B07A0"/>
    <w:rsid w:val="004B2285"/>
    <w:rsid w:val="004C2975"/>
    <w:rsid w:val="005931C9"/>
    <w:rsid w:val="005A6C49"/>
    <w:rsid w:val="005C60F9"/>
    <w:rsid w:val="00660ED6"/>
    <w:rsid w:val="00686E4A"/>
    <w:rsid w:val="0071536B"/>
    <w:rsid w:val="00715D04"/>
    <w:rsid w:val="0074188C"/>
    <w:rsid w:val="00744E9D"/>
    <w:rsid w:val="00786486"/>
    <w:rsid w:val="007920A2"/>
    <w:rsid w:val="007F3276"/>
    <w:rsid w:val="00816FCF"/>
    <w:rsid w:val="00826498"/>
    <w:rsid w:val="008319D4"/>
    <w:rsid w:val="00843512"/>
    <w:rsid w:val="008B0F4D"/>
    <w:rsid w:val="009E077F"/>
    <w:rsid w:val="00A34B21"/>
    <w:rsid w:val="00B355F5"/>
    <w:rsid w:val="00B64773"/>
    <w:rsid w:val="00BC13CA"/>
    <w:rsid w:val="00C07969"/>
    <w:rsid w:val="00C468A2"/>
    <w:rsid w:val="00C525B1"/>
    <w:rsid w:val="00CA1633"/>
    <w:rsid w:val="00CD4F17"/>
    <w:rsid w:val="00D15A9E"/>
    <w:rsid w:val="00D25CE9"/>
    <w:rsid w:val="00D42D66"/>
    <w:rsid w:val="00D54767"/>
    <w:rsid w:val="00D750C0"/>
    <w:rsid w:val="00D761F9"/>
    <w:rsid w:val="00D84740"/>
    <w:rsid w:val="00DA1C00"/>
    <w:rsid w:val="00DB4F11"/>
    <w:rsid w:val="00DC55BD"/>
    <w:rsid w:val="00DD6C48"/>
    <w:rsid w:val="00E00366"/>
    <w:rsid w:val="00E10604"/>
    <w:rsid w:val="00E20F6E"/>
    <w:rsid w:val="00EC79DE"/>
    <w:rsid w:val="00EE1CBC"/>
    <w:rsid w:val="00EF5A1C"/>
    <w:rsid w:val="00F02A77"/>
    <w:rsid w:val="00F14911"/>
    <w:rsid w:val="00F641F6"/>
    <w:rsid w:val="00F9611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6815B1"/>
  <w15:docId w15:val="{550EA411-3566-4508-B015-8A745A9C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69"/>
    <w:pPr>
      <w:suppressAutoHyphens/>
      <w:spacing w:after="200"/>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61D72"/>
    <w:rPr>
      <w:rFonts w:ascii="Tahoma" w:hAnsi="Tahoma" w:cs="Tahoma"/>
      <w:sz w:val="16"/>
      <w:szCs w:val="16"/>
    </w:rPr>
  </w:style>
  <w:style w:type="character" w:customStyle="1" w:styleId="HeaderChar">
    <w:name w:val="Header Char"/>
    <w:basedOn w:val="DefaultParagraphFont"/>
    <w:link w:val="Header"/>
    <w:uiPriority w:val="99"/>
    <w:rsid w:val="00B61D72"/>
  </w:style>
  <w:style w:type="character" w:customStyle="1" w:styleId="FooterChar">
    <w:name w:val="Footer Char"/>
    <w:basedOn w:val="DefaultParagraphFont"/>
    <w:link w:val="Footer"/>
    <w:uiPriority w:val="99"/>
    <w:rsid w:val="00B61D72"/>
  </w:style>
  <w:style w:type="character" w:customStyle="1" w:styleId="InternetLink">
    <w:name w:val="Internet Link"/>
    <w:rPr>
      <w:color w:val="000080"/>
      <w:u w:val="single"/>
    </w:rPr>
  </w:style>
  <w:style w:type="character" w:customStyle="1" w:styleId="ListLabel1">
    <w:name w:val="ListLabel 1"/>
    <w:rPr>
      <w:rFonts w:cs="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B61D72"/>
    <w:pPr>
      <w:spacing w:after="0" w:line="240" w:lineRule="auto"/>
    </w:pPr>
    <w:rPr>
      <w:rFonts w:ascii="Tahoma" w:hAnsi="Tahoma" w:cs="Tahoma"/>
      <w:sz w:val="16"/>
      <w:szCs w:val="16"/>
    </w:rPr>
  </w:style>
  <w:style w:type="paragraph" w:styleId="Header">
    <w:name w:val="header"/>
    <w:basedOn w:val="Normal"/>
    <w:link w:val="HeaderChar"/>
    <w:uiPriority w:val="99"/>
    <w:unhideWhenUsed/>
    <w:rsid w:val="00B61D72"/>
    <w:pPr>
      <w:tabs>
        <w:tab w:val="center" w:pos="4680"/>
        <w:tab w:val="right" w:pos="9360"/>
      </w:tabs>
      <w:spacing w:after="0" w:line="240" w:lineRule="auto"/>
    </w:pPr>
  </w:style>
  <w:style w:type="paragraph" w:styleId="Footer">
    <w:name w:val="footer"/>
    <w:basedOn w:val="Normal"/>
    <w:link w:val="FooterChar"/>
    <w:uiPriority w:val="99"/>
    <w:unhideWhenUsed/>
    <w:rsid w:val="00B61D72"/>
    <w:pPr>
      <w:tabs>
        <w:tab w:val="center" w:pos="4680"/>
        <w:tab w:val="right" w:pos="9360"/>
      </w:tabs>
      <w:spacing w:after="0" w:line="240" w:lineRule="auto"/>
    </w:pPr>
  </w:style>
  <w:style w:type="table" w:styleId="TableGrid">
    <w:name w:val="Table Grid"/>
    <w:basedOn w:val="TableNormal"/>
    <w:uiPriority w:val="39"/>
    <w:rsid w:val="00185947"/>
    <w:pPr>
      <w:spacing w:line="240" w:lineRule="auto"/>
    </w:pPr>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 Emese</dc:creator>
  <cp:lastModifiedBy>Kajtar Zsuzsanna</cp:lastModifiedBy>
  <cp:revision>2</cp:revision>
  <cp:lastPrinted>2023-09-19T10:25:00Z</cp:lastPrinted>
  <dcterms:created xsi:type="dcterms:W3CDTF">2023-09-19T14:05:00Z</dcterms:created>
  <dcterms:modified xsi:type="dcterms:W3CDTF">2023-09-19T14:05:00Z</dcterms:modified>
  <dc:language>en-US</dc:language>
</cp:coreProperties>
</file>