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9FDD" w14:textId="77777777" w:rsidR="003A7686" w:rsidRPr="00AB678D" w:rsidRDefault="003A7686" w:rsidP="003A7686">
      <w:pPr>
        <w:rPr>
          <w:rFonts w:cstheme="minorHAnsi"/>
          <w:sz w:val="26"/>
          <w:szCs w:val="26"/>
        </w:rPr>
      </w:pPr>
      <w:proofErr w:type="spellStart"/>
      <w:r w:rsidRPr="00AB678D">
        <w:rPr>
          <w:rFonts w:cstheme="minorHAnsi"/>
          <w:sz w:val="26"/>
          <w:szCs w:val="26"/>
        </w:rPr>
        <w:t>Propuneri</w:t>
      </w:r>
      <w:proofErr w:type="spellEnd"/>
      <w:r w:rsidRPr="00AB678D">
        <w:rPr>
          <w:rFonts w:cstheme="minorHAnsi"/>
          <w:sz w:val="26"/>
          <w:szCs w:val="26"/>
        </w:rPr>
        <w:t xml:space="preserve"> de </w:t>
      </w:r>
      <w:proofErr w:type="spellStart"/>
      <w:r w:rsidRPr="00AB678D">
        <w:rPr>
          <w:rFonts w:cstheme="minorHAnsi"/>
          <w:sz w:val="26"/>
          <w:szCs w:val="26"/>
        </w:rPr>
        <w:t>modificare</w:t>
      </w:r>
      <w:proofErr w:type="spellEnd"/>
      <w:r w:rsidRPr="00AB678D">
        <w:rPr>
          <w:rFonts w:cstheme="minorHAnsi"/>
          <w:sz w:val="26"/>
          <w:szCs w:val="26"/>
        </w:rPr>
        <w:t xml:space="preserve"> la </w:t>
      </w:r>
      <w:proofErr w:type="spellStart"/>
      <w:proofErr w:type="gramStart"/>
      <w:r w:rsidRPr="00AB678D">
        <w:rPr>
          <w:rFonts w:cstheme="minorHAnsi"/>
          <w:sz w:val="26"/>
          <w:szCs w:val="26"/>
        </w:rPr>
        <w:t>proiectul</w:t>
      </w:r>
      <w:proofErr w:type="spellEnd"/>
      <w:r w:rsidRPr="00AB678D">
        <w:rPr>
          <w:rFonts w:cstheme="minorHAnsi"/>
          <w:sz w:val="26"/>
          <w:szCs w:val="26"/>
        </w:rPr>
        <w:t xml:space="preserve"> </w:t>
      </w:r>
      <w:r w:rsidRPr="00AB678D">
        <w:rPr>
          <w:rFonts w:cstheme="minorHAnsi"/>
          <w:color w:val="000000"/>
          <w:sz w:val="26"/>
          <w:szCs w:val="26"/>
        </w:rPr>
        <w:t>”</w:t>
      </w:r>
      <w:r w:rsidRPr="00AB678D">
        <w:rPr>
          <w:rFonts w:cstheme="minorHAnsi"/>
          <w:b/>
          <w:bCs/>
          <w:sz w:val="26"/>
          <w:szCs w:val="26"/>
        </w:rPr>
        <w:t>INTERVENȚIA</w:t>
      </w:r>
      <w:proofErr w:type="gramEnd"/>
      <w:r w:rsidRPr="00AB678D">
        <w:rPr>
          <w:rFonts w:cstheme="minorHAnsi"/>
          <w:b/>
          <w:bCs/>
          <w:sz w:val="26"/>
          <w:szCs w:val="26"/>
        </w:rPr>
        <w:t xml:space="preserve"> DR-30  SPRIJIN PENTRU INSTALAREA TINERILOR</w:t>
      </w:r>
      <w:r w:rsidRPr="00AB678D">
        <w:rPr>
          <w:rFonts w:cstheme="minorHAnsi"/>
          <w:sz w:val="26"/>
          <w:szCs w:val="26"/>
        </w:rPr>
        <w:t xml:space="preserve"> </w:t>
      </w:r>
      <w:r w:rsidRPr="00AB678D">
        <w:rPr>
          <w:rFonts w:cstheme="minorHAnsi"/>
          <w:b/>
          <w:bCs/>
          <w:sz w:val="26"/>
          <w:szCs w:val="26"/>
        </w:rPr>
        <w:t>FERMIERI”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766"/>
        <w:gridCol w:w="3554"/>
        <w:gridCol w:w="3493"/>
        <w:gridCol w:w="2627"/>
      </w:tblGrid>
      <w:tr w:rsidR="003A7686" w:rsidRPr="00AB678D" w14:paraId="55CABEB1" w14:textId="77777777" w:rsidTr="00AB0B82">
        <w:tc>
          <w:tcPr>
            <w:tcW w:w="766" w:type="dxa"/>
          </w:tcPr>
          <w:p w14:paraId="7A8DC1A4" w14:textId="77777777" w:rsidR="003A7686" w:rsidRPr="00AB678D" w:rsidRDefault="003A7686" w:rsidP="00AB0B82">
            <w:pPr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AB678D">
              <w:rPr>
                <w:rFonts w:cstheme="minorHAnsi"/>
                <w:b/>
                <w:bCs/>
                <w:sz w:val="26"/>
                <w:szCs w:val="26"/>
                <w:lang w:val="en-US"/>
              </w:rPr>
              <w:t>nr.</w:t>
            </w:r>
          </w:p>
          <w:p w14:paraId="2B4AA10C" w14:textId="77777777" w:rsidR="003A7686" w:rsidRPr="00AB678D" w:rsidRDefault="003A7686" w:rsidP="00AB0B82">
            <w:pPr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B678D">
              <w:rPr>
                <w:rFonts w:cstheme="minorHAnsi"/>
                <w:b/>
                <w:bCs/>
                <w:sz w:val="26"/>
                <w:szCs w:val="26"/>
                <w:lang w:val="en-US"/>
              </w:rPr>
              <w:t>înerg</w:t>
            </w:r>
            <w:proofErr w:type="spellEnd"/>
          </w:p>
        </w:tc>
        <w:tc>
          <w:tcPr>
            <w:tcW w:w="3554" w:type="dxa"/>
          </w:tcPr>
          <w:p w14:paraId="6911158F" w14:textId="77777777" w:rsidR="003A7686" w:rsidRPr="00AB678D" w:rsidRDefault="003A7686" w:rsidP="00AB0B8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AB678D">
              <w:rPr>
                <w:rFonts w:cstheme="minorHAnsi"/>
                <w:b/>
                <w:bCs/>
                <w:sz w:val="26"/>
                <w:szCs w:val="26"/>
              </w:rPr>
              <w:t xml:space="preserve">Text inițial  </w:t>
            </w:r>
          </w:p>
        </w:tc>
        <w:tc>
          <w:tcPr>
            <w:tcW w:w="3493" w:type="dxa"/>
          </w:tcPr>
          <w:p w14:paraId="4F7504BC" w14:textId="77777777" w:rsidR="003A7686" w:rsidRPr="00AB678D" w:rsidRDefault="003A7686" w:rsidP="00AB0B82">
            <w:pPr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B678D">
              <w:rPr>
                <w:rFonts w:cstheme="minorHAnsi"/>
                <w:b/>
                <w:bCs/>
                <w:sz w:val="26"/>
                <w:szCs w:val="26"/>
                <w:lang w:val="en-US"/>
              </w:rPr>
              <w:t>Propunere</w:t>
            </w:r>
            <w:proofErr w:type="spellEnd"/>
            <w:r w:rsidRPr="00AB678D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AB678D">
              <w:rPr>
                <w:rFonts w:cstheme="minorHAnsi"/>
                <w:b/>
                <w:bCs/>
                <w:sz w:val="26"/>
                <w:szCs w:val="26"/>
                <w:lang w:val="en-US"/>
              </w:rPr>
              <w:t>modificare</w:t>
            </w:r>
            <w:proofErr w:type="spellEnd"/>
            <w:r w:rsidRPr="00AB678D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57438ED1" w14:textId="77777777" w:rsidR="003A7686" w:rsidRPr="00AB678D" w:rsidRDefault="003A7686" w:rsidP="00AB0B82">
            <w:pPr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B678D">
              <w:rPr>
                <w:rFonts w:cstheme="minorHAnsi"/>
                <w:b/>
                <w:bCs/>
                <w:sz w:val="26"/>
                <w:szCs w:val="26"/>
                <w:lang w:val="en-US"/>
              </w:rPr>
              <w:t>Justificare</w:t>
            </w:r>
            <w:proofErr w:type="spellEnd"/>
            <w:r w:rsidRPr="00AB678D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3A7686" w:rsidRPr="00AB678D" w14:paraId="3E6B3B66" w14:textId="77777777" w:rsidTr="00AB0B82">
        <w:tc>
          <w:tcPr>
            <w:tcW w:w="766" w:type="dxa"/>
          </w:tcPr>
          <w:p w14:paraId="5E02732D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AB678D">
              <w:rPr>
                <w:rFonts w:cstheme="minorHAnsi"/>
                <w:sz w:val="26"/>
                <w:szCs w:val="26"/>
                <w:lang w:val="en-US"/>
              </w:rPr>
              <w:t>1.</w:t>
            </w:r>
          </w:p>
        </w:tc>
        <w:tc>
          <w:tcPr>
            <w:tcW w:w="3554" w:type="dxa"/>
          </w:tcPr>
          <w:p w14:paraId="1F096E40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 Ca</w:t>
            </w:r>
            <w:r>
              <w:rPr>
                <w:rFonts w:cstheme="minorHAnsi"/>
                <w:sz w:val="26"/>
                <w:szCs w:val="26"/>
              </w:rPr>
              <w:t>p</w:t>
            </w:r>
            <w:r w:rsidRPr="00AB678D">
              <w:rPr>
                <w:rFonts w:cstheme="minorHAnsi"/>
                <w:sz w:val="26"/>
                <w:szCs w:val="26"/>
              </w:rPr>
              <w:t xml:space="preserve"> II, 2.1Cine poate beneficia de fonduri nerambursabile</w:t>
            </w:r>
          </w:p>
          <w:p w14:paraId="47D74C1D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 Definiție tânăr fermier:</w:t>
            </w:r>
          </w:p>
          <w:p w14:paraId="298FDD96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În RECOM se va verifica dacă solicitantul a autorizat pentru prima dată un cod CAEN agricol în cadrul unei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entităţi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economice (II/IF/PFA/Societate Comercială) cu maximum 24 de luni înaintea depunerii Cererii de finanțare, figurând cu terenuri şi/sau animale în sistemele mai-sus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menţionate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, deoarece data instalării nu poate avea loc cu mai mult de 24 de luni înainte de data depunerii Cererii de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Finanţare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pentru accesarea sprijinului prin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intervenţia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DR-30 „Sprijin pentru instalarea tinerilor fermieri”.</w:t>
            </w:r>
          </w:p>
          <w:p w14:paraId="0F34904C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AB678D">
              <w:rPr>
                <w:rFonts w:cstheme="minorHAnsi"/>
                <w:sz w:val="26"/>
                <w:szCs w:val="26"/>
              </w:rPr>
              <w:t>Excepţie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: Sunt eligibili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solicitanţii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care au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deţinut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cu mai mult de 24 de luni înaintea depunerii cererii de finanțare, gr</w:t>
            </w:r>
            <w:r>
              <w:rPr>
                <w:rFonts w:cstheme="minorHAnsi"/>
                <w:sz w:val="26"/>
                <w:szCs w:val="26"/>
              </w:rPr>
              <w:t>ă</w:t>
            </w:r>
            <w:r w:rsidRPr="00AB678D">
              <w:rPr>
                <w:rFonts w:cstheme="minorHAnsi"/>
                <w:sz w:val="26"/>
                <w:szCs w:val="26"/>
              </w:rPr>
              <w:t xml:space="preserve">dină familială şi/sau animale înregistrate în ANSVSA/ANZ/Registrul Agricol (în cazul păsărilor şi animale mici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necrotaliate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) destinate consumului propriu, cu condiția ca să nu fi beneficiat vreodată de nici un sprijin din fonduri naționale și/sau europene pentru activitatea agricolă. În cazul animalelor, </w:t>
            </w:r>
            <w:r w:rsidRPr="00AB678D">
              <w:rPr>
                <w:rFonts w:cstheme="minorHAnsi"/>
                <w:sz w:val="26"/>
                <w:szCs w:val="26"/>
              </w:rPr>
              <w:lastRenderedPageBreak/>
              <w:t>limitele sunt prezentate în tabelul de mai jo</w:t>
            </w:r>
            <w:r>
              <w:rPr>
                <w:rFonts w:cstheme="minorHAnsi"/>
                <w:sz w:val="26"/>
                <w:szCs w:val="26"/>
              </w:rPr>
              <w:t>s</w:t>
            </w:r>
            <w:r w:rsidRPr="00AB678D">
              <w:rPr>
                <w:rFonts w:cstheme="minorHAnsi"/>
                <w:sz w:val="26"/>
                <w:szCs w:val="26"/>
              </w:rPr>
              <w:t>. (pag 7)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1084"/>
              <w:gridCol w:w="1620"/>
            </w:tblGrid>
            <w:tr w:rsidR="003A7686" w:rsidRPr="00AB678D" w14:paraId="016671C3" w14:textId="77777777" w:rsidTr="00AB0B82">
              <w:tc>
                <w:tcPr>
                  <w:tcW w:w="740" w:type="dxa"/>
                </w:tcPr>
                <w:p w14:paraId="6E906E0D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nr</w:t>
                  </w:r>
                </w:p>
              </w:tc>
              <w:tc>
                <w:tcPr>
                  <w:tcW w:w="899" w:type="dxa"/>
                </w:tcPr>
                <w:p w14:paraId="35DADCA3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Animale</w:t>
                  </w:r>
                </w:p>
              </w:tc>
              <w:tc>
                <w:tcPr>
                  <w:tcW w:w="1320" w:type="dxa"/>
                </w:tcPr>
                <w:p w14:paraId="284F330E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nr.capete</w:t>
                  </w:r>
                  <w:proofErr w:type="spellEnd"/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/nr. 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fam.albine</w:t>
                  </w:r>
                  <w:proofErr w:type="spellEnd"/>
                </w:p>
              </w:tc>
            </w:tr>
            <w:tr w:rsidR="003A7686" w:rsidRPr="00AB678D" w14:paraId="1B684D2E" w14:textId="77777777" w:rsidTr="00AB0B82">
              <w:tc>
                <w:tcPr>
                  <w:tcW w:w="740" w:type="dxa"/>
                </w:tcPr>
                <w:p w14:paraId="5226F8DD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99" w:type="dxa"/>
                </w:tcPr>
                <w:p w14:paraId="3C262AE0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Vaci</w:t>
                  </w:r>
                </w:p>
              </w:tc>
              <w:tc>
                <w:tcPr>
                  <w:tcW w:w="1320" w:type="dxa"/>
                </w:tcPr>
                <w:p w14:paraId="1F47AA98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2</w:t>
                  </w:r>
                </w:p>
              </w:tc>
            </w:tr>
            <w:tr w:rsidR="003A7686" w:rsidRPr="00AB678D" w14:paraId="42528F33" w14:textId="77777777" w:rsidTr="00AB0B82">
              <w:tc>
                <w:tcPr>
                  <w:tcW w:w="740" w:type="dxa"/>
                </w:tcPr>
                <w:p w14:paraId="0B65ADE3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99" w:type="dxa"/>
                </w:tcPr>
                <w:p w14:paraId="56CC9E94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bovine</w:t>
                  </w:r>
                </w:p>
              </w:tc>
              <w:tc>
                <w:tcPr>
                  <w:tcW w:w="1320" w:type="dxa"/>
                </w:tcPr>
                <w:p w14:paraId="02EC67B0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2</w:t>
                  </w:r>
                </w:p>
              </w:tc>
            </w:tr>
            <w:tr w:rsidR="003A7686" w:rsidRPr="00AB678D" w14:paraId="73F79853" w14:textId="77777777" w:rsidTr="00AB0B82">
              <w:tc>
                <w:tcPr>
                  <w:tcW w:w="740" w:type="dxa"/>
                </w:tcPr>
                <w:p w14:paraId="744C5D36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99" w:type="dxa"/>
                </w:tcPr>
                <w:p w14:paraId="30A0CE9D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oi</w:t>
                  </w:r>
                </w:p>
              </w:tc>
              <w:tc>
                <w:tcPr>
                  <w:tcW w:w="1320" w:type="dxa"/>
                </w:tcPr>
                <w:p w14:paraId="24232964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50</w:t>
                  </w:r>
                </w:p>
              </w:tc>
            </w:tr>
            <w:tr w:rsidR="003A7686" w:rsidRPr="00AB678D" w14:paraId="60E4810E" w14:textId="77777777" w:rsidTr="00AB0B82">
              <w:tc>
                <w:tcPr>
                  <w:tcW w:w="740" w:type="dxa"/>
                </w:tcPr>
                <w:p w14:paraId="7C9B8E6D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99" w:type="dxa"/>
                </w:tcPr>
                <w:p w14:paraId="76B3E98D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ca</w:t>
                  </w:r>
                  <w:r>
                    <w:rPr>
                      <w:rFonts w:cstheme="minorHAnsi"/>
                      <w:sz w:val="26"/>
                      <w:szCs w:val="26"/>
                    </w:rPr>
                    <w:t>p</w:t>
                  </w:r>
                  <w:r w:rsidRPr="00AB678D">
                    <w:rPr>
                      <w:rFonts w:cstheme="minorHAnsi"/>
                      <w:sz w:val="26"/>
                      <w:szCs w:val="26"/>
                    </w:rPr>
                    <w:t>re</w:t>
                  </w:r>
                </w:p>
              </w:tc>
              <w:tc>
                <w:tcPr>
                  <w:tcW w:w="1320" w:type="dxa"/>
                </w:tcPr>
                <w:p w14:paraId="6F13AD19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25</w:t>
                  </w:r>
                </w:p>
              </w:tc>
            </w:tr>
            <w:tr w:rsidR="003A7686" w:rsidRPr="00AB678D" w14:paraId="3661851C" w14:textId="77777777" w:rsidTr="00AB0B82">
              <w:tc>
                <w:tcPr>
                  <w:tcW w:w="740" w:type="dxa"/>
                </w:tcPr>
                <w:p w14:paraId="3937E25C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99" w:type="dxa"/>
                </w:tcPr>
                <w:p w14:paraId="2FF3A8F5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porci 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pt</w:t>
                  </w:r>
                  <w:proofErr w:type="spellEnd"/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 .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îngră-șat</w:t>
                  </w:r>
                  <w:proofErr w:type="spellEnd"/>
                </w:p>
              </w:tc>
              <w:tc>
                <w:tcPr>
                  <w:tcW w:w="1320" w:type="dxa"/>
                </w:tcPr>
                <w:p w14:paraId="31A5880F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6</w:t>
                  </w:r>
                </w:p>
              </w:tc>
            </w:tr>
            <w:tr w:rsidR="003A7686" w:rsidRPr="00AB678D" w14:paraId="513E89EE" w14:textId="77777777" w:rsidTr="00AB0B82">
              <w:tc>
                <w:tcPr>
                  <w:tcW w:w="740" w:type="dxa"/>
                  <w:tcBorders>
                    <w:bottom w:val="single" w:sz="4" w:space="0" w:color="auto"/>
                  </w:tcBorders>
                </w:tcPr>
                <w:p w14:paraId="563C5EF5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bottom w:val="single" w:sz="4" w:space="0" w:color="auto"/>
                  </w:tcBorders>
                </w:tcPr>
                <w:p w14:paraId="6513CA66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Albine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</w:tcPr>
                <w:p w14:paraId="43488C63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75 familii</w:t>
                  </w:r>
                </w:p>
              </w:tc>
            </w:tr>
            <w:tr w:rsidR="003A7686" w:rsidRPr="00AB678D" w14:paraId="29AF4BA8" w14:textId="77777777" w:rsidTr="00AB0B82">
              <w:tc>
                <w:tcPr>
                  <w:tcW w:w="740" w:type="dxa"/>
                  <w:tcBorders>
                    <w:bottom w:val="single" w:sz="4" w:space="0" w:color="auto"/>
                  </w:tcBorders>
                </w:tcPr>
                <w:p w14:paraId="673E52BD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bottom w:val="single" w:sz="4" w:space="0" w:color="auto"/>
                  </w:tcBorders>
                </w:tcPr>
                <w:p w14:paraId="5CF91059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</w:t>
                  </w:r>
                  <w:r>
                    <w:rPr>
                      <w:rFonts w:cstheme="minorHAnsi"/>
                      <w:sz w:val="26"/>
                      <w:szCs w:val="26"/>
                    </w:rPr>
                    <w:t>ă</w:t>
                  </w:r>
                  <w:r w:rsidRPr="00AB678D">
                    <w:rPr>
                      <w:rFonts w:cstheme="minorHAnsi"/>
                      <w:sz w:val="26"/>
                      <w:szCs w:val="26"/>
                    </w:rPr>
                    <w:t>s</w:t>
                  </w:r>
                  <w:r>
                    <w:rPr>
                      <w:rFonts w:cstheme="minorHAnsi"/>
                      <w:sz w:val="26"/>
                      <w:szCs w:val="26"/>
                    </w:rPr>
                    <w:t>ă</w:t>
                  </w:r>
                  <w:r w:rsidRPr="00AB678D">
                    <w:rPr>
                      <w:rFonts w:cstheme="minorHAnsi"/>
                      <w:sz w:val="26"/>
                      <w:szCs w:val="26"/>
                    </w:rPr>
                    <w:t>ri de curte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</w:tcPr>
                <w:p w14:paraId="59F5118E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100</w:t>
                  </w:r>
                </w:p>
              </w:tc>
            </w:tr>
            <w:tr w:rsidR="003A7686" w:rsidRPr="00AB678D" w14:paraId="77E21008" w14:textId="77777777" w:rsidTr="00AB0B82">
              <w:tc>
                <w:tcPr>
                  <w:tcW w:w="29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F6220E" w14:textId="77777777" w:rsidR="003A7686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  <w:p w14:paraId="31854B81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Categoriile de 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solicitanţi</w:t>
                  </w:r>
                  <w:proofErr w:type="spellEnd"/>
                  <w:r w:rsidRPr="00AB678D">
                    <w:rPr>
                      <w:rFonts w:cstheme="minorHAnsi"/>
                      <w:sz w:val="26"/>
                      <w:szCs w:val="26"/>
                    </w:rPr>
                    <w:t>/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exploataţii</w:t>
                  </w:r>
                  <w:proofErr w:type="spellEnd"/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restricţionate</w:t>
                  </w:r>
                  <w:proofErr w:type="spellEnd"/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 de la finanțare (pag.7)</w:t>
                  </w:r>
                </w:p>
                <w:p w14:paraId="61AE543A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Soicitanții</w:t>
                  </w:r>
                  <w:proofErr w:type="spellEnd"/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 care figurează în IACS și/sau în Registrul exploatațiilor – ANSVSA și/sau ANZ respectiv Registrul Agricol (doar pentru păsări şi animale mici 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necrotaliate</w:t>
                  </w:r>
                  <w:proofErr w:type="spellEnd"/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), după caz, precum și cei autorizați ONRC cu cod CAEN agricol cu mai mult de 24 de luni înainte de depunerea cererii de finanțare în acord cu data instalării; </w:t>
                  </w:r>
                </w:p>
              </w:tc>
            </w:tr>
          </w:tbl>
          <w:p w14:paraId="368DF061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3493" w:type="dxa"/>
          </w:tcPr>
          <w:p w14:paraId="7E4B7B3F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lastRenderedPageBreak/>
              <w:t xml:space="preserve"> Propunem modificarea propoziției în felul următor: </w:t>
            </w:r>
          </w:p>
          <w:p w14:paraId="30C42110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În RECOM se va verifica dacă solicitantul a autorizat pentru prima dată un cod CAEN agricol în cadrul unei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entităţi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economice (II/IF/PFA/Societate Comercială) cu maximum 60 de luni înaintea depunerii Cererii de finanțare, figurând cu terenuri şi/sau animale în sistemele mai-sus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menţionate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, deoarece data instalării nu poate avea loc cu mai mult de 60  de luni înainte de data depunerii Cererii de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Finanţare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pentru accesarea sprijinului prin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intervenţia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DR-30 „Sprijin pentru instalarea tinerilor fermieri”.</w:t>
            </w:r>
          </w:p>
          <w:p w14:paraId="6F354258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  <w:p w14:paraId="693F1A82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>P</w:t>
            </w:r>
            <w:r>
              <w:rPr>
                <w:rFonts w:cstheme="minorHAnsi"/>
                <w:sz w:val="26"/>
                <w:szCs w:val="26"/>
              </w:rPr>
              <w:t>r</w:t>
            </w:r>
            <w:r w:rsidRPr="00AB678D">
              <w:rPr>
                <w:rFonts w:cstheme="minorHAnsi"/>
                <w:sz w:val="26"/>
                <w:szCs w:val="26"/>
              </w:rPr>
              <w:t>opunem sc</w:t>
            </w:r>
            <w:r>
              <w:rPr>
                <w:rFonts w:cstheme="minorHAnsi"/>
                <w:sz w:val="26"/>
                <w:szCs w:val="26"/>
              </w:rPr>
              <w:t>o</w:t>
            </w:r>
            <w:r w:rsidRPr="00AB678D">
              <w:rPr>
                <w:rFonts w:cstheme="minorHAnsi"/>
                <w:sz w:val="26"/>
                <w:szCs w:val="26"/>
              </w:rPr>
              <w:t>aterea  frazei  „cu condiția ca să nu fi beneficiat vreodată de nici un sprijin din fonduri naționale și/sau europene pentru activitatea agricolă„</w:t>
            </w:r>
          </w:p>
          <w:p w14:paraId="34E8E6D6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  <w:p w14:paraId="65EC7203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  <w:p w14:paraId="3ADEC7DD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  <w:p w14:paraId="0FA63CE9" w14:textId="77777777" w:rsidR="003A7686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  <w:p w14:paraId="777B5F07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>Propunem scoaterea u</w:t>
            </w:r>
            <w:r>
              <w:rPr>
                <w:rFonts w:cstheme="minorHAnsi"/>
                <w:sz w:val="26"/>
                <w:szCs w:val="26"/>
              </w:rPr>
              <w:t>r</w:t>
            </w:r>
            <w:r w:rsidRPr="00AB678D">
              <w:rPr>
                <w:rFonts w:cstheme="minorHAnsi"/>
                <w:sz w:val="26"/>
                <w:szCs w:val="26"/>
              </w:rPr>
              <w:t xml:space="preserve">mătoarelor: </w:t>
            </w:r>
          </w:p>
          <w:p w14:paraId="52F98C13" w14:textId="77777777" w:rsidR="003A7686" w:rsidRDefault="003A7686" w:rsidP="00AB0B8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AB678D">
              <w:rPr>
                <w:rFonts w:cstheme="minorHAnsi"/>
                <w:sz w:val="26"/>
                <w:szCs w:val="26"/>
              </w:rPr>
              <w:t>limitele sunt prezentate în tabelul de mai jo</w:t>
            </w:r>
            <w:r>
              <w:rPr>
                <w:rFonts w:cstheme="minorHAnsi"/>
                <w:sz w:val="26"/>
                <w:szCs w:val="26"/>
              </w:rPr>
              <w:t>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"/>
              <w:gridCol w:w="1084"/>
              <w:gridCol w:w="1671"/>
            </w:tblGrid>
            <w:tr w:rsidR="003A7686" w:rsidRPr="00AB678D" w14:paraId="4817E9F5" w14:textId="77777777" w:rsidTr="00AB0B82">
              <w:tc>
                <w:tcPr>
                  <w:tcW w:w="430" w:type="dxa"/>
                </w:tcPr>
                <w:p w14:paraId="4A7F8A8C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lastRenderedPageBreak/>
                    <w:t>nr</w:t>
                  </w:r>
                </w:p>
              </w:tc>
              <w:tc>
                <w:tcPr>
                  <w:tcW w:w="1029" w:type="dxa"/>
                </w:tcPr>
                <w:p w14:paraId="19F2E7F1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Animale</w:t>
                  </w:r>
                </w:p>
              </w:tc>
              <w:tc>
                <w:tcPr>
                  <w:tcW w:w="1671" w:type="dxa"/>
                </w:tcPr>
                <w:p w14:paraId="16B8BC2E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nr.capete</w:t>
                  </w:r>
                  <w:proofErr w:type="spellEnd"/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/nr. 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fam.albine</w:t>
                  </w:r>
                  <w:proofErr w:type="spellEnd"/>
                </w:p>
              </w:tc>
            </w:tr>
            <w:tr w:rsidR="003A7686" w:rsidRPr="00AB678D" w14:paraId="3505B160" w14:textId="77777777" w:rsidTr="00AB0B82">
              <w:tc>
                <w:tcPr>
                  <w:tcW w:w="430" w:type="dxa"/>
                </w:tcPr>
                <w:p w14:paraId="58772D26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29" w:type="dxa"/>
                </w:tcPr>
                <w:p w14:paraId="6F0C0024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Vaci</w:t>
                  </w:r>
                </w:p>
              </w:tc>
              <w:tc>
                <w:tcPr>
                  <w:tcW w:w="1671" w:type="dxa"/>
                </w:tcPr>
                <w:p w14:paraId="3A6E5027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2</w:t>
                  </w:r>
                </w:p>
              </w:tc>
            </w:tr>
            <w:tr w:rsidR="003A7686" w:rsidRPr="00AB678D" w14:paraId="6CDBBC69" w14:textId="77777777" w:rsidTr="00AB0B82">
              <w:tc>
                <w:tcPr>
                  <w:tcW w:w="430" w:type="dxa"/>
                </w:tcPr>
                <w:p w14:paraId="3672751C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029" w:type="dxa"/>
                </w:tcPr>
                <w:p w14:paraId="600386B7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bovine</w:t>
                  </w:r>
                </w:p>
              </w:tc>
              <w:tc>
                <w:tcPr>
                  <w:tcW w:w="1671" w:type="dxa"/>
                </w:tcPr>
                <w:p w14:paraId="025408A1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2</w:t>
                  </w:r>
                </w:p>
              </w:tc>
            </w:tr>
            <w:tr w:rsidR="003A7686" w:rsidRPr="00AB678D" w14:paraId="5F3596E3" w14:textId="77777777" w:rsidTr="00AB0B82">
              <w:tc>
                <w:tcPr>
                  <w:tcW w:w="430" w:type="dxa"/>
                </w:tcPr>
                <w:p w14:paraId="44D803A1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029" w:type="dxa"/>
                </w:tcPr>
                <w:p w14:paraId="2E100F3B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oi</w:t>
                  </w:r>
                </w:p>
              </w:tc>
              <w:tc>
                <w:tcPr>
                  <w:tcW w:w="1671" w:type="dxa"/>
                </w:tcPr>
                <w:p w14:paraId="392518CF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50</w:t>
                  </w:r>
                </w:p>
              </w:tc>
            </w:tr>
            <w:tr w:rsidR="003A7686" w:rsidRPr="00AB678D" w14:paraId="33D7F520" w14:textId="77777777" w:rsidTr="00AB0B82">
              <w:tc>
                <w:tcPr>
                  <w:tcW w:w="430" w:type="dxa"/>
                </w:tcPr>
                <w:p w14:paraId="25EA6C91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029" w:type="dxa"/>
                </w:tcPr>
                <w:p w14:paraId="2D53B1F2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ca</w:t>
                  </w:r>
                  <w:r>
                    <w:rPr>
                      <w:rFonts w:cstheme="minorHAnsi"/>
                      <w:sz w:val="26"/>
                      <w:szCs w:val="26"/>
                    </w:rPr>
                    <w:t>p</w:t>
                  </w:r>
                  <w:r w:rsidRPr="00AB678D">
                    <w:rPr>
                      <w:rFonts w:cstheme="minorHAnsi"/>
                      <w:sz w:val="26"/>
                      <w:szCs w:val="26"/>
                    </w:rPr>
                    <w:t>re</w:t>
                  </w:r>
                </w:p>
              </w:tc>
              <w:tc>
                <w:tcPr>
                  <w:tcW w:w="1671" w:type="dxa"/>
                </w:tcPr>
                <w:p w14:paraId="7EDE5E63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25</w:t>
                  </w:r>
                </w:p>
              </w:tc>
            </w:tr>
            <w:tr w:rsidR="003A7686" w:rsidRPr="00AB678D" w14:paraId="113BB666" w14:textId="77777777" w:rsidTr="00AB0B82">
              <w:tc>
                <w:tcPr>
                  <w:tcW w:w="430" w:type="dxa"/>
                </w:tcPr>
                <w:p w14:paraId="7EE39B85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29" w:type="dxa"/>
                </w:tcPr>
                <w:p w14:paraId="7CD247C8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porci 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pt</w:t>
                  </w:r>
                  <w:proofErr w:type="spellEnd"/>
                  <w:r w:rsidRPr="00AB678D">
                    <w:rPr>
                      <w:rFonts w:cstheme="minorHAnsi"/>
                      <w:sz w:val="26"/>
                      <w:szCs w:val="26"/>
                    </w:rPr>
                    <w:t xml:space="preserve"> .</w:t>
                  </w:r>
                  <w:proofErr w:type="spellStart"/>
                  <w:r w:rsidRPr="00AB678D">
                    <w:rPr>
                      <w:rFonts w:cstheme="minorHAnsi"/>
                      <w:sz w:val="26"/>
                      <w:szCs w:val="26"/>
                    </w:rPr>
                    <w:t>îngră-șat</w:t>
                  </w:r>
                  <w:proofErr w:type="spellEnd"/>
                </w:p>
              </w:tc>
              <w:tc>
                <w:tcPr>
                  <w:tcW w:w="1671" w:type="dxa"/>
                </w:tcPr>
                <w:p w14:paraId="2A18B746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6</w:t>
                  </w:r>
                </w:p>
              </w:tc>
            </w:tr>
            <w:tr w:rsidR="003A7686" w:rsidRPr="00AB678D" w14:paraId="052BC6C4" w14:textId="77777777" w:rsidTr="00AB0B82">
              <w:tc>
                <w:tcPr>
                  <w:tcW w:w="430" w:type="dxa"/>
                </w:tcPr>
                <w:p w14:paraId="3AD122D9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029" w:type="dxa"/>
                </w:tcPr>
                <w:p w14:paraId="0432B6BA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Albine</w:t>
                  </w:r>
                </w:p>
              </w:tc>
              <w:tc>
                <w:tcPr>
                  <w:tcW w:w="1671" w:type="dxa"/>
                </w:tcPr>
                <w:p w14:paraId="2898B385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75 familii</w:t>
                  </w:r>
                </w:p>
              </w:tc>
            </w:tr>
            <w:tr w:rsidR="003A7686" w:rsidRPr="00AB678D" w14:paraId="4C162CE6" w14:textId="77777777" w:rsidTr="00AB0B82">
              <w:tc>
                <w:tcPr>
                  <w:tcW w:w="430" w:type="dxa"/>
                </w:tcPr>
                <w:p w14:paraId="7B7511AF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029" w:type="dxa"/>
                </w:tcPr>
                <w:p w14:paraId="55346786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</w:t>
                  </w:r>
                  <w:r>
                    <w:rPr>
                      <w:rFonts w:cstheme="minorHAnsi"/>
                      <w:sz w:val="26"/>
                      <w:szCs w:val="26"/>
                    </w:rPr>
                    <w:t>ă</w:t>
                  </w:r>
                  <w:r w:rsidRPr="00AB678D">
                    <w:rPr>
                      <w:rFonts w:cstheme="minorHAnsi"/>
                      <w:sz w:val="26"/>
                      <w:szCs w:val="26"/>
                    </w:rPr>
                    <w:t>s</w:t>
                  </w:r>
                  <w:r>
                    <w:rPr>
                      <w:rFonts w:cstheme="minorHAnsi"/>
                      <w:sz w:val="26"/>
                      <w:szCs w:val="26"/>
                    </w:rPr>
                    <w:t>ă</w:t>
                  </w:r>
                  <w:r w:rsidRPr="00AB678D">
                    <w:rPr>
                      <w:rFonts w:cstheme="minorHAnsi"/>
                      <w:sz w:val="26"/>
                      <w:szCs w:val="26"/>
                    </w:rPr>
                    <w:t>ri de curte</w:t>
                  </w:r>
                </w:p>
              </w:tc>
              <w:tc>
                <w:tcPr>
                  <w:tcW w:w="1671" w:type="dxa"/>
                </w:tcPr>
                <w:p w14:paraId="567470BF" w14:textId="77777777" w:rsidR="003A7686" w:rsidRPr="00AB678D" w:rsidRDefault="003A7686" w:rsidP="00AB0B8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AB678D">
                    <w:rPr>
                      <w:rFonts w:cstheme="minorHAnsi"/>
                      <w:sz w:val="26"/>
                      <w:szCs w:val="26"/>
                    </w:rPr>
                    <w:t>până la 100</w:t>
                  </w:r>
                </w:p>
              </w:tc>
            </w:tr>
          </w:tbl>
          <w:p w14:paraId="09C54169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6F6B020E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Propunem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modificarea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</w:p>
          <w:p w14:paraId="773AB3AA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Categoriile de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solicitanţi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>/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exploataţii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restricţionate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de la finanțare (pag.7)</w:t>
            </w:r>
          </w:p>
          <w:p w14:paraId="220B8635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Soicitanții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care figurează în IACS și/sau în Registrul exploatațiilor – ANSVSA și/sau ANZ respectiv Registrul Agricol (doar pentru păsări şi animale mici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necrotaliate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), după caz, precum și cei autorizați ONRC cu cod CAEN agricol cu mai mult de 60 de luni înainte de depunerea cererii de finanțare în acord cu data instalării; </w:t>
            </w:r>
          </w:p>
          <w:p w14:paraId="2F286610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  <w:p w14:paraId="3BE0403D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627" w:type="dxa"/>
          </w:tcPr>
          <w:p w14:paraId="250D487E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lastRenderedPageBreak/>
              <w:t>Considerăm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că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tre</w:t>
            </w:r>
            <w:r>
              <w:rPr>
                <w:rFonts w:cstheme="minorHAnsi"/>
                <w:sz w:val="26"/>
                <w:szCs w:val="26"/>
                <w:lang w:val="en-US"/>
              </w:rPr>
              <w:t>b</w:t>
            </w:r>
            <w:r w:rsidRPr="00AB678D">
              <w:rPr>
                <w:rFonts w:cstheme="minorHAnsi"/>
                <w:sz w:val="26"/>
                <w:szCs w:val="26"/>
                <w:lang w:val="en-US"/>
              </w:rPr>
              <w:t>uie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mărită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perioada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de la prima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înregistrare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unui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cod </w:t>
            </w:r>
            <w:r w:rsidRPr="00AB678D">
              <w:rPr>
                <w:rFonts w:cstheme="minorHAnsi"/>
                <w:sz w:val="26"/>
                <w:szCs w:val="26"/>
              </w:rPr>
              <w:t xml:space="preserve">CAEN agricol în cadrul unei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entităţi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economice (II/IF/PFA/Societate Comercială)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pentru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a da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posibilitatea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unui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număr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mai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mare de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fermieri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participare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acest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proiect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.          </w:t>
            </w:r>
          </w:p>
          <w:p w14:paraId="09A2C592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44822391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4F9B4DFD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140BB45C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2012F1E9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11D72BDF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06BAD4A5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Propunem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scoaterea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frazei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pentru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permite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mai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mu</w:t>
            </w:r>
            <w:r>
              <w:rPr>
                <w:rFonts w:cstheme="minorHAnsi"/>
                <w:sz w:val="26"/>
                <w:szCs w:val="26"/>
                <w:lang w:val="en-US"/>
              </w:rPr>
              <w:t>l</w:t>
            </w:r>
            <w:r w:rsidRPr="00AB678D">
              <w:rPr>
                <w:rFonts w:cstheme="minorHAnsi"/>
                <w:sz w:val="26"/>
                <w:szCs w:val="26"/>
                <w:lang w:val="en-US"/>
              </w:rPr>
              <w:t>tori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fermieri</w:t>
            </w:r>
            <w:proofErr w:type="spellEnd"/>
          </w:p>
          <w:p w14:paraId="487C6E1F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68996D3B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610065B2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674A41C4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26C9EFD2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2C02092E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652704E6" w14:textId="77777777" w:rsidR="003A7686" w:rsidRPr="00E77797" w:rsidRDefault="003A7686" w:rsidP="00AB0B82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Numerele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î</w:t>
            </w:r>
            <w:r w:rsidRPr="00AB678D">
              <w:rPr>
                <w:rFonts w:cstheme="minorHAnsi"/>
                <w:sz w:val="26"/>
                <w:szCs w:val="26"/>
                <w:lang w:val="en-US"/>
              </w:rPr>
              <w:t>n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tab</w:t>
            </w:r>
            <w:r>
              <w:rPr>
                <w:rFonts w:cstheme="minorHAnsi"/>
                <w:sz w:val="26"/>
                <w:szCs w:val="26"/>
                <w:lang w:val="en-US"/>
              </w:rPr>
              <w:t>el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nu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corespund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realității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, de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pi</w:t>
            </w:r>
            <w:r>
              <w:rPr>
                <w:rFonts w:cstheme="minorHAnsi"/>
                <w:sz w:val="26"/>
                <w:szCs w:val="26"/>
                <w:lang w:val="en-US"/>
              </w:rPr>
              <w:t>l</w:t>
            </w:r>
            <w:r w:rsidRPr="00AB678D">
              <w:rPr>
                <w:rFonts w:cstheme="minorHAnsi"/>
                <w:sz w:val="26"/>
                <w:szCs w:val="26"/>
                <w:lang w:val="en-US"/>
              </w:rPr>
              <w:t>dă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familie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poate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utiliza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produsele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mai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multor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vaci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decât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2,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dar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nu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considerăm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reală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lastRenderedPageBreak/>
              <w:t>numărul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de 50 oi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Totodat</w:t>
            </w:r>
            <w:proofErr w:type="spellEnd"/>
            <w:r>
              <w:rPr>
                <w:rFonts w:cstheme="minorHAnsi"/>
                <w:sz w:val="26"/>
                <w:szCs w:val="26"/>
              </w:rPr>
              <w:t>ă menționăm că numerele din tabel și din definiție nu corespund (în tabel sunt 50 oi și în definiție 60 oi)</w:t>
            </w:r>
          </w:p>
          <w:p w14:paraId="24F3C792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    </w:t>
            </w:r>
          </w:p>
          <w:p w14:paraId="373BE19D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0F4B1902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4F0B1474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771C7EDA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1B3B73CC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52D623AA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7C230054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65D092F8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0DA3290F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476AECAE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6C06ACF2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5725A2AB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59DE638B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439DBB24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15212048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Propunem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modificarea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pentru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a 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p</w:t>
            </w:r>
            <w:r w:rsidRPr="00AB678D">
              <w:rPr>
                <w:rFonts w:cstheme="minorHAnsi"/>
                <w:sz w:val="26"/>
                <w:szCs w:val="26"/>
                <w:lang w:val="en-US"/>
              </w:rPr>
              <w:t>ermite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mai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mu</w:t>
            </w:r>
            <w:r>
              <w:rPr>
                <w:rFonts w:cstheme="minorHAnsi"/>
                <w:sz w:val="26"/>
                <w:szCs w:val="26"/>
                <w:lang w:val="en-US"/>
              </w:rPr>
              <w:t>l</w:t>
            </w:r>
            <w:r w:rsidRPr="00AB678D">
              <w:rPr>
                <w:rFonts w:cstheme="minorHAnsi"/>
                <w:sz w:val="26"/>
                <w:szCs w:val="26"/>
                <w:lang w:val="en-US"/>
              </w:rPr>
              <w:t>tora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să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aibă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access la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finanțare</w:t>
            </w:r>
            <w:proofErr w:type="spellEnd"/>
          </w:p>
          <w:p w14:paraId="32E03995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0DD149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3022B44A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A7686" w:rsidRPr="00AB678D" w14:paraId="025CC536" w14:textId="77777777" w:rsidTr="00AB0B82">
        <w:tc>
          <w:tcPr>
            <w:tcW w:w="766" w:type="dxa"/>
          </w:tcPr>
          <w:p w14:paraId="32D27A98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AB678D">
              <w:rPr>
                <w:rFonts w:cstheme="minorHAnsi"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3554" w:type="dxa"/>
          </w:tcPr>
          <w:p w14:paraId="4FB5D815" w14:textId="77777777" w:rsidR="003A7686" w:rsidRPr="00AB678D" w:rsidRDefault="003A7686" w:rsidP="00AB0B82">
            <w:pPr>
              <w:spacing w:after="160" w:line="259" w:lineRule="auto"/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>.</w:t>
            </w:r>
            <w:r w:rsidRPr="00AB678D">
              <w:rPr>
                <w:rFonts w:cstheme="minorHAnsi"/>
                <w:sz w:val="26"/>
                <w:szCs w:val="26"/>
              </w:rPr>
              <w:t>2 Condiții obligatorii pentru acordarea sprijinului( la pag.22)</w:t>
            </w:r>
          </w:p>
          <w:p w14:paraId="0E2F86AF" w14:textId="77777777" w:rsidR="003A7686" w:rsidRPr="00AB678D" w:rsidRDefault="003A7686" w:rsidP="00AB0B82">
            <w:pPr>
              <w:spacing w:after="160" w:line="259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Pentru asigurarea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viabilităţii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planului de afaceri se va </w:t>
            </w:r>
            <w:r w:rsidRPr="00AB678D">
              <w:rPr>
                <w:rFonts w:cstheme="minorHAnsi"/>
                <w:sz w:val="26"/>
                <w:szCs w:val="26"/>
              </w:rPr>
              <w:lastRenderedPageBreak/>
              <w:t xml:space="preserve">descrie în detaliu gestionarea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exploataţiei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agricole pentru perioada de implementare şi monitorizare a proiectului, cu prezentarea datelor privind domiciliul şi/sau locul de muncă/unitatea de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învăţământ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(la zi) în afara UAT în care este localizată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exploataţia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agricolă.</w:t>
            </w:r>
          </w:p>
        </w:tc>
        <w:tc>
          <w:tcPr>
            <w:tcW w:w="3493" w:type="dxa"/>
          </w:tcPr>
          <w:p w14:paraId="504E8E03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70AAE9E5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67DBEA1A" w14:textId="77777777" w:rsidR="003A7686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7AB0E7A5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Propunem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scoaterea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propoziției</w:t>
            </w:r>
            <w:proofErr w:type="spellEnd"/>
            <w:proofErr w:type="gramStart"/>
            <w:r w:rsidRPr="00AB678D">
              <w:rPr>
                <w:rFonts w:cstheme="minorHAnsi"/>
                <w:sz w:val="26"/>
                <w:szCs w:val="26"/>
                <w:lang w:val="en-US"/>
              </w:rPr>
              <w:t>:”</w:t>
            </w:r>
            <w:r w:rsidRPr="00AB678D">
              <w:rPr>
                <w:rFonts w:cstheme="minorHAnsi"/>
                <w:sz w:val="26"/>
                <w:szCs w:val="26"/>
              </w:rPr>
              <w:t>în</w:t>
            </w:r>
            <w:proofErr w:type="gramEnd"/>
            <w:r w:rsidRPr="00AB678D">
              <w:rPr>
                <w:rFonts w:cstheme="minorHAnsi"/>
                <w:sz w:val="26"/>
                <w:szCs w:val="26"/>
              </w:rPr>
              <w:t xml:space="preserve"> care acesta este încadrat într-o activitate </w:t>
            </w:r>
            <w:r w:rsidRPr="00AB678D">
              <w:rPr>
                <w:rFonts w:cstheme="minorHAnsi"/>
                <w:sz w:val="26"/>
                <w:szCs w:val="26"/>
              </w:rPr>
              <w:lastRenderedPageBreak/>
              <w:t>salarizată, locul de muncă al acestuia să fie în UAT-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ul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în care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exploataţia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este înregistrată sau zona limitrofă a UAT-ului în care este înregistrată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exploataţia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>”</w:t>
            </w:r>
          </w:p>
          <w:p w14:paraId="6FB39CF9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627" w:type="dxa"/>
          </w:tcPr>
          <w:p w14:paraId="5899FC5C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267331A9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2C44EAE0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14:paraId="6AF35BFA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1C8666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Co</w:t>
            </w:r>
            <w:r>
              <w:rPr>
                <w:rFonts w:cstheme="minorHAnsi"/>
                <w:sz w:val="26"/>
                <w:szCs w:val="26"/>
                <w:lang w:val="en-US"/>
              </w:rPr>
              <w:t>ns</w:t>
            </w:r>
            <w:r w:rsidRPr="00AB678D">
              <w:rPr>
                <w:rFonts w:cstheme="minorHAnsi"/>
                <w:sz w:val="26"/>
                <w:szCs w:val="26"/>
                <w:lang w:val="en-US"/>
              </w:rPr>
              <w:t>iderăm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că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dacă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tânărul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fermier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este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lastRenderedPageBreak/>
              <w:t>încadrat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în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muncă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cu 8 ore/ zi, 40 ore/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săptâmănă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AB678D">
              <w:rPr>
                <w:rFonts w:cstheme="minorHAnsi"/>
                <w:b/>
                <w:bCs/>
                <w:sz w:val="26"/>
                <w:szCs w:val="26"/>
                <w:lang w:val="en-US"/>
              </w:rPr>
              <w:t>nu</w:t>
            </w:r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în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UAT-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ul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sau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în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zona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limitrofă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UAT-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ului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în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care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este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înregistrat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exploatația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poate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rezolva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conducerea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fermei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în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ce</w:t>
            </w:r>
            <w:r>
              <w:rPr>
                <w:rFonts w:cstheme="minorHAnsi"/>
                <w:sz w:val="26"/>
                <w:szCs w:val="26"/>
                <w:lang w:val="en-US"/>
              </w:rPr>
              <w:t>ilalți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16 ore/ zi, pe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baza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unei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declarații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privind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acest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lucru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. </w:t>
            </w:r>
          </w:p>
        </w:tc>
      </w:tr>
      <w:tr w:rsidR="003A7686" w:rsidRPr="00AB678D" w14:paraId="3F7F757B" w14:textId="77777777" w:rsidTr="00AB0B82">
        <w:tc>
          <w:tcPr>
            <w:tcW w:w="766" w:type="dxa"/>
          </w:tcPr>
          <w:p w14:paraId="3C06470A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AB678D">
              <w:rPr>
                <w:rFonts w:cstheme="minorHAnsi"/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3554" w:type="dxa"/>
          </w:tcPr>
          <w:p w14:paraId="57E01ABB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>2.2 Condiții obligatorii pentru acordarea sprijinului</w:t>
            </w:r>
          </w:p>
          <w:p w14:paraId="4B6E6F72" w14:textId="77777777" w:rsidR="003A7686" w:rsidRDefault="003A7686" w:rsidP="00AB0B82">
            <w:pPr>
              <w:rPr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>„</w:t>
            </w:r>
            <w:r w:rsidRPr="00AB678D">
              <w:rPr>
                <w:sz w:val="26"/>
                <w:szCs w:val="26"/>
              </w:rPr>
              <w:t xml:space="preserve">calendarul de implementare a planului de afaceri. </w:t>
            </w:r>
            <w:r>
              <w:rPr>
                <w:sz w:val="26"/>
                <w:szCs w:val="26"/>
              </w:rPr>
              <w:t>( pagina19)</w:t>
            </w:r>
          </w:p>
          <w:p w14:paraId="66B63763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AB678D">
              <w:rPr>
                <w:sz w:val="26"/>
                <w:szCs w:val="26"/>
              </w:rPr>
              <w:t xml:space="preserve">Solicitantul trebuie să demonstreze creșterea performanțelor economice ale exploatației, prin comercializarea producției proprii în procent de minimum 30% din valoarea primei tranșe de plată, prin entități precum cooperative, grupuri de producători, unități de procesare, piețe locale, platforme de comercializare alternative (ex. </w:t>
            </w:r>
            <w:proofErr w:type="spellStart"/>
            <w:r w:rsidRPr="00AB678D">
              <w:rPr>
                <w:sz w:val="26"/>
                <w:szCs w:val="26"/>
              </w:rPr>
              <w:t>Agrohub</w:t>
            </w:r>
            <w:proofErr w:type="spellEnd"/>
            <w:r w:rsidRPr="00AB678D">
              <w:rPr>
                <w:sz w:val="26"/>
                <w:szCs w:val="26"/>
              </w:rPr>
              <w:t>) etc., înainte de depunerea celei de-a doua tranșe de plată.</w:t>
            </w:r>
          </w:p>
        </w:tc>
        <w:tc>
          <w:tcPr>
            <w:tcW w:w="3493" w:type="dxa"/>
          </w:tcPr>
          <w:p w14:paraId="7777BC09" w14:textId="77777777" w:rsidR="003A7686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  <w:p w14:paraId="477594C3" w14:textId="77777777" w:rsidR="003A7686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  <w:p w14:paraId="04D8E179" w14:textId="77777777" w:rsidR="003A7686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Propunem  rămânerea  doar a propoziției: </w:t>
            </w:r>
          </w:p>
          <w:p w14:paraId="0F4E9043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AB678D">
              <w:rPr>
                <w:rFonts w:cstheme="minorHAnsi"/>
                <w:sz w:val="26"/>
                <w:szCs w:val="26"/>
              </w:rPr>
              <w:t>Solicitantul trebuie să demonstreze creșterea performanțelor economice ale exploatației, prin comercializarea producției proprii în procent de minimum 20% din valoarea primei tranșe de plată prin orice căi de vânzare.”</w:t>
            </w:r>
          </w:p>
        </w:tc>
        <w:tc>
          <w:tcPr>
            <w:tcW w:w="2627" w:type="dxa"/>
          </w:tcPr>
          <w:p w14:paraId="540121BF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Sugerăm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 xml:space="preserve">, ca 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să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 xml:space="preserve"> fie ca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în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cadrul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anunțurilor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destinate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tinerilor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fermieri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 xml:space="preserve"> 6.1, a </w:t>
            </w:r>
            <w:proofErr w:type="spellStart"/>
            <w:r w:rsidRPr="00AB678D">
              <w:rPr>
                <w:rFonts w:cstheme="minorHAnsi"/>
                <w:sz w:val="26"/>
                <w:szCs w:val="26"/>
                <w:lang w:val="en-US"/>
              </w:rPr>
              <w:t>figurat</w:t>
            </w:r>
            <w:proofErr w:type="spellEnd"/>
            <w:r w:rsidRPr="00AB678D">
              <w:rPr>
                <w:rFonts w:cstheme="minorHAnsi"/>
                <w:sz w:val="26"/>
                <w:szCs w:val="26"/>
                <w:lang w:val="en-US"/>
              </w:rPr>
              <w:t>:</w:t>
            </w:r>
          </w:p>
          <w:p w14:paraId="4A787A32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„Înaintea solicitării celei de-a doua tranșe de plată, beneficiarul face dovada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creşterii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B678D">
              <w:rPr>
                <w:rFonts w:cstheme="minorHAnsi"/>
                <w:sz w:val="26"/>
                <w:szCs w:val="26"/>
              </w:rPr>
              <w:t>performanţelor</w:t>
            </w:r>
            <w:proofErr w:type="spellEnd"/>
            <w:r w:rsidRPr="00AB678D">
              <w:rPr>
                <w:rFonts w:cstheme="minorHAnsi"/>
                <w:sz w:val="26"/>
                <w:szCs w:val="26"/>
              </w:rPr>
              <w:t xml:space="preserve"> economice ale exploatației, prin comercializarea producției proprii în procent de minimum 20% din valoarea primei tranșe de plată (cerința va fi verificată în momentul finalizării implementării Planului de Afaceri);”</w:t>
            </w:r>
          </w:p>
          <w:p w14:paraId="0AF4B9E4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 w:rsidRPr="00AB678D">
              <w:rPr>
                <w:rFonts w:cstheme="minorHAnsi"/>
                <w:sz w:val="26"/>
                <w:szCs w:val="26"/>
              </w:rPr>
              <w:t>Nu este clar modul în care această creștere de 10 % îi va motiva pe viitorii tineri fermieri.</w:t>
            </w:r>
          </w:p>
          <w:p w14:paraId="698C1E9E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AB678D">
              <w:rPr>
                <w:rFonts w:cstheme="minorHAnsi"/>
                <w:sz w:val="26"/>
                <w:szCs w:val="26"/>
              </w:rPr>
              <w:t xml:space="preserve">Opțiunile de  comercializare discriminează în mod negativ crescătorii de </w:t>
            </w:r>
            <w:r w:rsidRPr="00AB678D">
              <w:rPr>
                <w:rFonts w:cstheme="minorHAnsi"/>
                <w:sz w:val="26"/>
                <w:szCs w:val="26"/>
              </w:rPr>
              <w:lastRenderedPageBreak/>
              <w:t>bovine de carne, care folosesc adesea alte căi  de  comercializare.</w:t>
            </w:r>
          </w:p>
        </w:tc>
      </w:tr>
      <w:tr w:rsidR="003A7686" w:rsidRPr="00AB678D" w14:paraId="04C8EBF4" w14:textId="77777777" w:rsidTr="00AB0B82">
        <w:tc>
          <w:tcPr>
            <w:tcW w:w="766" w:type="dxa"/>
          </w:tcPr>
          <w:p w14:paraId="17CAC09C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4</w:t>
            </w:r>
          </w:p>
        </w:tc>
        <w:tc>
          <w:tcPr>
            <w:tcW w:w="3554" w:type="dxa"/>
          </w:tcPr>
          <w:p w14:paraId="584BDABD" w14:textId="77777777" w:rsidR="003A7686" w:rsidRPr="006970E4" w:rsidRDefault="003A7686" w:rsidP="00AB0B82">
            <w:pPr>
              <w:rPr>
                <w:sz w:val="26"/>
                <w:szCs w:val="26"/>
              </w:rPr>
            </w:pPr>
            <w:r w:rsidRPr="006970E4">
              <w:rPr>
                <w:sz w:val="26"/>
                <w:szCs w:val="26"/>
              </w:rPr>
              <w:t>Principiul comasării prin preluarea de exploatații (pag 38)</w:t>
            </w:r>
          </w:p>
          <w:p w14:paraId="71137C18" w14:textId="77777777" w:rsidR="003A7686" w:rsidRPr="006970E4" w:rsidRDefault="003A7686" w:rsidP="00AB0B82">
            <w:pPr>
              <w:rPr>
                <w:sz w:val="26"/>
                <w:szCs w:val="26"/>
              </w:rPr>
            </w:pPr>
            <w:r w:rsidRPr="006970E4">
              <w:rPr>
                <w:sz w:val="26"/>
                <w:szCs w:val="26"/>
              </w:rPr>
              <w:t xml:space="preserve">ZM. 3.3 – Solicitantul preia integral o </w:t>
            </w:r>
            <w:proofErr w:type="spellStart"/>
            <w:r w:rsidRPr="006970E4">
              <w:rPr>
                <w:sz w:val="26"/>
                <w:szCs w:val="26"/>
              </w:rPr>
              <w:t>exploataţie</w:t>
            </w:r>
            <w:proofErr w:type="spellEnd"/>
            <w:r w:rsidRPr="006970E4">
              <w:rPr>
                <w:sz w:val="26"/>
                <w:szCs w:val="26"/>
              </w:rPr>
              <w:t xml:space="preserve"> agricol </w:t>
            </w:r>
          </w:p>
          <w:p w14:paraId="138C9317" w14:textId="77777777" w:rsidR="003A7686" w:rsidRPr="006970E4" w:rsidRDefault="003A7686" w:rsidP="00AB0B82">
            <w:pPr>
              <w:rPr>
                <w:sz w:val="26"/>
                <w:szCs w:val="26"/>
              </w:rPr>
            </w:pPr>
            <w:r w:rsidRPr="006970E4">
              <w:rPr>
                <w:sz w:val="26"/>
                <w:szCs w:val="26"/>
              </w:rPr>
              <w:t xml:space="preserve">„Pentru a beneficia de punctaj conform criteriului de </w:t>
            </w:r>
            <w:proofErr w:type="spellStart"/>
            <w:r w:rsidRPr="006970E4">
              <w:rPr>
                <w:sz w:val="26"/>
                <w:szCs w:val="26"/>
              </w:rPr>
              <w:t>selecţie</w:t>
            </w:r>
            <w:proofErr w:type="spellEnd"/>
            <w:r w:rsidRPr="006970E4">
              <w:rPr>
                <w:sz w:val="26"/>
                <w:szCs w:val="26"/>
              </w:rPr>
              <w:t xml:space="preserve">, preluarea </w:t>
            </w:r>
            <w:proofErr w:type="spellStart"/>
            <w:r w:rsidRPr="006970E4">
              <w:rPr>
                <w:sz w:val="26"/>
                <w:szCs w:val="26"/>
              </w:rPr>
              <w:t>exploataţiilor</w:t>
            </w:r>
            <w:proofErr w:type="spellEnd"/>
            <w:r w:rsidRPr="006970E4">
              <w:rPr>
                <w:sz w:val="26"/>
                <w:szCs w:val="26"/>
              </w:rPr>
              <w:t xml:space="preserve"> se realizează integral, cu toate </w:t>
            </w:r>
            <w:proofErr w:type="spellStart"/>
            <w:r w:rsidRPr="006970E4">
              <w:rPr>
                <w:sz w:val="26"/>
                <w:szCs w:val="26"/>
              </w:rPr>
              <w:t>suprafeţele</w:t>
            </w:r>
            <w:proofErr w:type="spellEnd"/>
            <w:r w:rsidRPr="006970E4">
              <w:rPr>
                <w:sz w:val="26"/>
                <w:szCs w:val="26"/>
              </w:rPr>
              <w:t xml:space="preserve"> şi animalele pe care le deține cedentul în proprietate (condiția nu se aplică pentru suprafețele </w:t>
            </w:r>
            <w:proofErr w:type="spellStart"/>
            <w:r w:rsidRPr="006970E4">
              <w:rPr>
                <w:sz w:val="26"/>
                <w:szCs w:val="26"/>
              </w:rPr>
              <w:t>deţinute</w:t>
            </w:r>
            <w:proofErr w:type="spellEnd"/>
            <w:r w:rsidRPr="006970E4">
              <w:rPr>
                <w:sz w:val="26"/>
                <w:szCs w:val="26"/>
              </w:rPr>
              <w:t xml:space="preserve"> de cedent în baza unui contract de arendă sau alte forme, în schimb cedentul trebuie să renunțe la activitatea agricolă și să nu mai fie înregistrat ca atare, în niciun registru </w:t>
            </w:r>
            <w:proofErr w:type="spellStart"/>
            <w:r w:rsidRPr="006970E4">
              <w:rPr>
                <w:sz w:val="26"/>
                <w:szCs w:val="26"/>
              </w:rPr>
              <w:t>specfic</w:t>
            </w:r>
            <w:proofErr w:type="spellEnd"/>
            <w:r w:rsidRPr="006970E4">
              <w:rPr>
                <w:sz w:val="26"/>
                <w:szCs w:val="26"/>
              </w:rPr>
              <w:t xml:space="preserve">), </w:t>
            </w:r>
            <w:proofErr w:type="spellStart"/>
            <w:r w:rsidRPr="006970E4">
              <w:rPr>
                <w:sz w:val="26"/>
                <w:szCs w:val="26"/>
              </w:rPr>
              <w:t>aşa</w:t>
            </w:r>
            <w:proofErr w:type="spellEnd"/>
            <w:r w:rsidRPr="006970E4">
              <w:rPr>
                <w:sz w:val="26"/>
                <w:szCs w:val="26"/>
              </w:rPr>
              <w:t xml:space="preserve"> cum apar înregistrate la APIA şi/sau la ANSVSA/ANZ şi în Registrul agricol” ...</w:t>
            </w:r>
          </w:p>
          <w:p w14:paraId="12F3A244" w14:textId="77777777" w:rsidR="003A7686" w:rsidRPr="006970E4" w:rsidRDefault="003A7686" w:rsidP="00AB0B82">
            <w:pPr>
              <w:rPr>
                <w:sz w:val="26"/>
                <w:szCs w:val="26"/>
              </w:rPr>
            </w:pPr>
            <w:r w:rsidRPr="006970E4">
              <w:rPr>
                <w:sz w:val="26"/>
                <w:szCs w:val="26"/>
              </w:rPr>
              <w:t xml:space="preserve">„Nu este obligatorie preluarea </w:t>
            </w:r>
            <w:proofErr w:type="spellStart"/>
            <w:r w:rsidRPr="006970E4">
              <w:rPr>
                <w:sz w:val="26"/>
                <w:szCs w:val="26"/>
              </w:rPr>
              <w:t>suprafeţelor</w:t>
            </w:r>
            <w:proofErr w:type="spellEnd"/>
            <w:r w:rsidRPr="006970E4">
              <w:rPr>
                <w:sz w:val="26"/>
                <w:szCs w:val="26"/>
              </w:rPr>
              <w:t xml:space="preserve"> </w:t>
            </w:r>
            <w:proofErr w:type="spellStart"/>
            <w:r w:rsidRPr="006970E4">
              <w:rPr>
                <w:sz w:val="26"/>
                <w:szCs w:val="26"/>
              </w:rPr>
              <w:t>deţinute</w:t>
            </w:r>
            <w:proofErr w:type="spellEnd"/>
            <w:r w:rsidRPr="006970E4">
              <w:rPr>
                <w:sz w:val="26"/>
                <w:szCs w:val="26"/>
              </w:rPr>
              <w:t xml:space="preserve"> de </w:t>
            </w:r>
            <w:proofErr w:type="spellStart"/>
            <w:r w:rsidRPr="006970E4">
              <w:rPr>
                <w:sz w:val="26"/>
                <w:szCs w:val="26"/>
              </w:rPr>
              <w:t>cedenţi</w:t>
            </w:r>
            <w:proofErr w:type="spellEnd"/>
            <w:r w:rsidRPr="006970E4">
              <w:rPr>
                <w:sz w:val="26"/>
                <w:szCs w:val="26"/>
              </w:rPr>
              <w:t xml:space="preserve"> în arendă sau sub alte forme de </w:t>
            </w:r>
            <w:proofErr w:type="spellStart"/>
            <w:r w:rsidRPr="006970E4">
              <w:rPr>
                <w:sz w:val="26"/>
                <w:szCs w:val="26"/>
              </w:rPr>
              <w:t>folosinţă</w:t>
            </w:r>
            <w:proofErr w:type="spellEnd"/>
            <w:r w:rsidRPr="006970E4">
              <w:rPr>
                <w:sz w:val="26"/>
                <w:szCs w:val="26"/>
              </w:rPr>
              <w:t xml:space="preserve">, şi nici a curții, a anexelor gospodăriei cedentului sau a animalelor destinate consumului propriu al cedentului, </w:t>
            </w:r>
            <w:proofErr w:type="spellStart"/>
            <w:r w:rsidRPr="006970E4">
              <w:rPr>
                <w:sz w:val="26"/>
                <w:szCs w:val="26"/>
              </w:rPr>
              <w:t>aşa</w:t>
            </w:r>
            <w:proofErr w:type="spellEnd"/>
            <w:r w:rsidRPr="006970E4">
              <w:rPr>
                <w:sz w:val="26"/>
                <w:szCs w:val="26"/>
              </w:rPr>
              <w:t xml:space="preserve"> cum este explicitat în </w:t>
            </w:r>
            <w:proofErr w:type="spellStart"/>
            <w:r w:rsidRPr="006970E4">
              <w:rPr>
                <w:sz w:val="26"/>
                <w:szCs w:val="26"/>
              </w:rPr>
              <w:t>secţiunea</w:t>
            </w:r>
            <w:proofErr w:type="spellEnd"/>
            <w:r w:rsidRPr="006970E4">
              <w:rPr>
                <w:sz w:val="26"/>
                <w:szCs w:val="26"/>
              </w:rPr>
              <w:t xml:space="preserve"> „</w:t>
            </w:r>
            <w:proofErr w:type="spellStart"/>
            <w:r w:rsidRPr="006970E4">
              <w:rPr>
                <w:sz w:val="26"/>
                <w:szCs w:val="26"/>
              </w:rPr>
              <w:t>Definiţii</w:t>
            </w:r>
            <w:proofErr w:type="spellEnd"/>
            <w:r w:rsidRPr="006970E4">
              <w:rPr>
                <w:sz w:val="26"/>
                <w:szCs w:val="26"/>
              </w:rPr>
              <w:t>”</w:t>
            </w:r>
          </w:p>
          <w:p w14:paraId="27A4B411" w14:textId="77777777" w:rsidR="003A7686" w:rsidRPr="006970E4" w:rsidRDefault="003A7686" w:rsidP="00AB0B82">
            <w:pPr>
              <w:spacing w:line="276" w:lineRule="auto"/>
              <w:rPr>
                <w:sz w:val="26"/>
                <w:szCs w:val="26"/>
              </w:rPr>
            </w:pPr>
          </w:p>
          <w:p w14:paraId="749CADD7" w14:textId="77777777" w:rsidR="003A7686" w:rsidRPr="006970E4" w:rsidRDefault="003A7686" w:rsidP="00AB0B82">
            <w:pPr>
              <w:spacing w:line="276" w:lineRule="auto"/>
              <w:rPr>
                <w:sz w:val="26"/>
                <w:szCs w:val="26"/>
              </w:rPr>
            </w:pPr>
          </w:p>
          <w:p w14:paraId="39C5FDC1" w14:textId="77777777" w:rsidR="003A7686" w:rsidRPr="00AB678D" w:rsidRDefault="003A7686" w:rsidP="00AB0B8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93" w:type="dxa"/>
          </w:tcPr>
          <w:p w14:paraId="7BA49746" w14:textId="77777777" w:rsidR="003A7686" w:rsidRDefault="003A7686" w:rsidP="00AB0B8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  <w:p w14:paraId="744C412D" w14:textId="77777777" w:rsidR="003A7686" w:rsidRDefault="003A7686" w:rsidP="00AB0B8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  <w:p w14:paraId="2C6D5927" w14:textId="77777777" w:rsidR="003A7686" w:rsidRDefault="003A7686" w:rsidP="00AB0B8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Definirea corectă, clară, simplă, și </w:t>
            </w:r>
            <w:r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 directă a concepțiilor.</w:t>
            </w:r>
          </w:p>
        </w:tc>
        <w:tc>
          <w:tcPr>
            <w:tcW w:w="2627" w:type="dxa"/>
          </w:tcPr>
          <w:p w14:paraId="7A02061B" w14:textId="77777777" w:rsidR="003A7686" w:rsidRDefault="003A7686" w:rsidP="00AB0B8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  <w:p w14:paraId="3AB12AF3" w14:textId="77777777" w:rsidR="003A7686" w:rsidRDefault="003A7686" w:rsidP="00AB0B8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  <w:p w14:paraId="39C990E8" w14:textId="77777777" w:rsidR="003A7686" w:rsidRPr="0067747E" w:rsidRDefault="003A7686" w:rsidP="00AB0B82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Concepțiile din fraza  </w:t>
            </w:r>
            <w:r w:rsidRPr="006970E4">
              <w:rPr>
                <w:sz w:val="26"/>
                <w:szCs w:val="26"/>
              </w:rPr>
              <w:t xml:space="preserve">„Pentru a beneficia de punctaj conform criteriului de </w:t>
            </w:r>
            <w:proofErr w:type="spellStart"/>
            <w:r w:rsidRPr="006970E4">
              <w:rPr>
                <w:sz w:val="26"/>
                <w:szCs w:val="26"/>
              </w:rPr>
              <w:t>selecţie</w:t>
            </w:r>
            <w:proofErr w:type="spellEnd"/>
            <w:r w:rsidRPr="006970E4">
              <w:rPr>
                <w:sz w:val="26"/>
                <w:szCs w:val="26"/>
              </w:rPr>
              <w:t xml:space="preserve">, preluarea </w:t>
            </w:r>
            <w:proofErr w:type="spellStart"/>
            <w:r w:rsidRPr="006970E4">
              <w:rPr>
                <w:sz w:val="26"/>
                <w:szCs w:val="26"/>
              </w:rPr>
              <w:t>exploataţiilor</w:t>
            </w:r>
            <w:proofErr w:type="spellEnd"/>
            <w:r w:rsidRPr="006970E4">
              <w:rPr>
                <w:sz w:val="26"/>
                <w:szCs w:val="26"/>
              </w:rPr>
              <w:t xml:space="preserve"> se realizează integral, cu toate </w:t>
            </w:r>
            <w:proofErr w:type="spellStart"/>
            <w:r w:rsidRPr="006970E4">
              <w:rPr>
                <w:sz w:val="26"/>
                <w:szCs w:val="26"/>
              </w:rPr>
              <w:t>suprafeţele</w:t>
            </w:r>
            <w:proofErr w:type="spellEnd"/>
            <w:r w:rsidRPr="006970E4">
              <w:rPr>
                <w:sz w:val="26"/>
                <w:szCs w:val="26"/>
              </w:rPr>
              <w:t xml:space="preserve"> şi animalele pe care le deține cedentul în proprietate (condiția nu se aplică pentru suprafețele </w:t>
            </w:r>
            <w:proofErr w:type="spellStart"/>
            <w:r w:rsidRPr="006970E4">
              <w:rPr>
                <w:sz w:val="26"/>
                <w:szCs w:val="26"/>
              </w:rPr>
              <w:t>deţinute</w:t>
            </w:r>
            <w:proofErr w:type="spellEnd"/>
            <w:r w:rsidRPr="006970E4">
              <w:rPr>
                <w:sz w:val="26"/>
                <w:szCs w:val="26"/>
              </w:rPr>
              <w:t xml:space="preserve"> de cedent în baza unui contract de arendă sau alte forme, în schimb cedentul trebuie să renunțe la activitatea agricolă și să nu mai fie înregistrat ca atare, în niciun registru </w:t>
            </w:r>
            <w:proofErr w:type="spellStart"/>
            <w:r w:rsidRPr="006970E4">
              <w:rPr>
                <w:sz w:val="26"/>
                <w:szCs w:val="26"/>
              </w:rPr>
              <w:t>specfic</w:t>
            </w:r>
            <w:proofErr w:type="spellEnd"/>
            <w:r w:rsidRPr="006970E4">
              <w:rPr>
                <w:sz w:val="26"/>
                <w:szCs w:val="26"/>
              </w:rPr>
              <w:t xml:space="preserve">), </w:t>
            </w:r>
            <w:proofErr w:type="spellStart"/>
            <w:r w:rsidRPr="006970E4">
              <w:rPr>
                <w:sz w:val="26"/>
                <w:szCs w:val="26"/>
              </w:rPr>
              <w:t>aşa</w:t>
            </w:r>
            <w:proofErr w:type="spellEnd"/>
            <w:r w:rsidRPr="006970E4">
              <w:rPr>
                <w:sz w:val="26"/>
                <w:szCs w:val="26"/>
              </w:rPr>
              <w:t xml:space="preserve"> cum apar înregistrate la APIA şi/sau la ANSVSA/ANZ şi în Registrul agricol” .</w:t>
            </w:r>
            <w:r>
              <w:rPr>
                <w:sz w:val="26"/>
                <w:szCs w:val="26"/>
              </w:rPr>
              <w:t xml:space="preserve"> sunt contradictorii conținutului frazei. -</w:t>
            </w:r>
            <w:r w:rsidRPr="006970E4">
              <w:rPr>
                <w:sz w:val="26"/>
                <w:szCs w:val="26"/>
              </w:rPr>
              <w:t xml:space="preserve">„Nu este obligatorie preluarea </w:t>
            </w:r>
            <w:proofErr w:type="spellStart"/>
            <w:r w:rsidRPr="006970E4">
              <w:rPr>
                <w:sz w:val="26"/>
                <w:szCs w:val="26"/>
              </w:rPr>
              <w:t>suprafeţelor</w:t>
            </w:r>
            <w:proofErr w:type="spellEnd"/>
            <w:r w:rsidRPr="006970E4">
              <w:rPr>
                <w:sz w:val="26"/>
                <w:szCs w:val="26"/>
              </w:rPr>
              <w:t xml:space="preserve"> </w:t>
            </w:r>
            <w:proofErr w:type="spellStart"/>
            <w:r w:rsidRPr="006970E4">
              <w:rPr>
                <w:sz w:val="26"/>
                <w:szCs w:val="26"/>
              </w:rPr>
              <w:t>deţinute</w:t>
            </w:r>
            <w:proofErr w:type="spellEnd"/>
            <w:r w:rsidRPr="006970E4">
              <w:rPr>
                <w:sz w:val="26"/>
                <w:szCs w:val="26"/>
              </w:rPr>
              <w:t xml:space="preserve"> de </w:t>
            </w:r>
            <w:proofErr w:type="spellStart"/>
            <w:r w:rsidRPr="006970E4">
              <w:rPr>
                <w:sz w:val="26"/>
                <w:szCs w:val="26"/>
              </w:rPr>
              <w:t>cedenţi</w:t>
            </w:r>
            <w:proofErr w:type="spellEnd"/>
            <w:r w:rsidRPr="006970E4">
              <w:rPr>
                <w:sz w:val="26"/>
                <w:szCs w:val="26"/>
              </w:rPr>
              <w:t xml:space="preserve"> în arendă sau sub alte forme de </w:t>
            </w:r>
            <w:proofErr w:type="spellStart"/>
            <w:r w:rsidRPr="006970E4">
              <w:rPr>
                <w:sz w:val="26"/>
                <w:szCs w:val="26"/>
              </w:rPr>
              <w:t>folosinţă</w:t>
            </w:r>
            <w:proofErr w:type="spellEnd"/>
            <w:r w:rsidRPr="006970E4">
              <w:rPr>
                <w:sz w:val="26"/>
                <w:szCs w:val="26"/>
              </w:rPr>
              <w:t xml:space="preserve">, şi nici a curții, a anexelor gospodăriei </w:t>
            </w:r>
            <w:r w:rsidRPr="006970E4">
              <w:rPr>
                <w:sz w:val="26"/>
                <w:szCs w:val="26"/>
              </w:rPr>
              <w:lastRenderedPageBreak/>
              <w:t xml:space="preserve">cedentului sau a animalelor destinate consumului propriu al cedentului, </w:t>
            </w:r>
            <w:proofErr w:type="spellStart"/>
            <w:r w:rsidRPr="006970E4">
              <w:rPr>
                <w:sz w:val="26"/>
                <w:szCs w:val="26"/>
              </w:rPr>
              <w:t>aşa</w:t>
            </w:r>
            <w:proofErr w:type="spellEnd"/>
            <w:r w:rsidRPr="006970E4">
              <w:rPr>
                <w:sz w:val="26"/>
                <w:szCs w:val="26"/>
              </w:rPr>
              <w:t xml:space="preserve"> cum este explicitat în </w:t>
            </w:r>
            <w:proofErr w:type="spellStart"/>
            <w:r w:rsidRPr="006970E4">
              <w:rPr>
                <w:sz w:val="26"/>
                <w:szCs w:val="26"/>
              </w:rPr>
              <w:t>secţiunea</w:t>
            </w:r>
            <w:proofErr w:type="spellEnd"/>
            <w:r w:rsidRPr="006970E4">
              <w:rPr>
                <w:sz w:val="26"/>
                <w:szCs w:val="26"/>
              </w:rPr>
              <w:t xml:space="preserve"> „</w:t>
            </w:r>
            <w:proofErr w:type="spellStart"/>
            <w:r w:rsidRPr="006970E4">
              <w:rPr>
                <w:sz w:val="26"/>
                <w:szCs w:val="26"/>
              </w:rPr>
              <w:t>Definiţii</w:t>
            </w:r>
            <w:proofErr w:type="spellEnd"/>
            <w:r w:rsidRPr="006970E4">
              <w:rPr>
                <w:sz w:val="26"/>
                <w:szCs w:val="26"/>
              </w:rPr>
              <w:t>”</w:t>
            </w:r>
          </w:p>
        </w:tc>
      </w:tr>
    </w:tbl>
    <w:p w14:paraId="42096801" w14:textId="77777777" w:rsidR="008A4CC3" w:rsidRDefault="008A4CC3"/>
    <w:sectPr w:rsidR="008A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86"/>
    <w:rsid w:val="003A7686"/>
    <w:rsid w:val="008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AD49"/>
  <w15:chartTrackingRefBased/>
  <w15:docId w15:val="{F84FC3CA-5D82-4C8B-B58E-94D343B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8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686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Kajtar Zsuzsanna</dc:creator>
  <cp:keywords/>
  <dc:description/>
  <cp:lastModifiedBy>Kajtar Zsuzsanna</cp:lastModifiedBy>
  <cp:revision>1</cp:revision>
  <dcterms:created xsi:type="dcterms:W3CDTF">2023-08-10T13:46:00Z</dcterms:created>
  <dcterms:modified xsi:type="dcterms:W3CDTF">2023-08-10T13:46:00Z</dcterms:modified>
</cp:coreProperties>
</file>